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8300FE">
        <w:rPr>
          <w:sz w:val="20"/>
          <w:lang w:val="sv-SE"/>
        </w:rPr>
        <w:t xml:space="preserve"> #</w:t>
      </w:r>
      <w:r w:rsidR="00332EBA">
        <w:rPr>
          <w:rFonts w:hint="eastAsia"/>
          <w:sz w:val="20"/>
          <w:lang w:val="sv-SE"/>
        </w:rPr>
        <w:t>80</w:t>
      </w:r>
      <w:r w:rsidR="007F38C6">
        <w:rPr>
          <w:sz w:val="20"/>
          <w:lang w:val="sv-SE"/>
        </w:rPr>
        <w:t>bis</w:t>
      </w:r>
      <w:r w:rsidR="00857CEA">
        <w:rPr>
          <w:sz w:val="20"/>
          <w:lang w:val="sv-SE"/>
        </w:rPr>
        <w:tab/>
      </w:r>
      <w:r w:rsidR="00EC20C6" w:rsidRPr="00EC20C6">
        <w:rPr>
          <w:sz w:val="20"/>
          <w:lang w:val="sv-SE"/>
        </w:rPr>
        <w:t>R4-168606</w:t>
      </w:r>
    </w:p>
    <w:p w:rsidR="007F38C6" w:rsidRDefault="007F38C6" w:rsidP="007F38C6">
      <w:pPr>
        <w:pStyle w:val="FootnoteText"/>
        <w:rPr>
          <w:rFonts w:ascii="Arial" w:eastAsiaTheme="minorEastAsia" w:hAnsi="Arial" w:cs="Arial"/>
          <w:b/>
          <w:bCs/>
          <w:noProof/>
          <w:szCs w:val="18"/>
          <w:lang w:eastAsia="zh-CN"/>
        </w:rPr>
      </w:pPr>
      <w:r w:rsidRPr="00FF4DFC">
        <w:rPr>
          <w:rFonts w:ascii="Arial" w:eastAsiaTheme="minorEastAsia" w:hAnsi="Arial" w:cs="Arial"/>
          <w:b/>
          <w:bCs/>
          <w:noProof/>
          <w:szCs w:val="18"/>
          <w:lang w:eastAsia="zh-CN"/>
        </w:rPr>
        <w:t>Ljubljana</w:t>
      </w:r>
      <w:r w:rsidRPr="00332EBA">
        <w:rPr>
          <w:rFonts w:ascii="Arial" w:eastAsiaTheme="minorEastAsia" w:hAnsi="Arial" w:cs="Arial"/>
          <w:b/>
          <w:bCs/>
          <w:noProof/>
          <w:szCs w:val="18"/>
          <w:lang w:eastAsia="zh-CN"/>
        </w:rPr>
        <w:t xml:space="preserve">, </w:t>
      </w:r>
      <w:r w:rsidRPr="00FF4DFC">
        <w:rPr>
          <w:rFonts w:ascii="Arial" w:eastAsiaTheme="minorEastAsia" w:hAnsi="Arial" w:cs="Arial"/>
          <w:b/>
          <w:bCs/>
          <w:noProof/>
          <w:szCs w:val="18"/>
          <w:lang w:eastAsia="zh-CN"/>
        </w:rPr>
        <w:t>Slovenia</w:t>
      </w:r>
      <w:r w:rsidRPr="00332EBA">
        <w:rPr>
          <w:rFonts w:ascii="Arial" w:eastAsiaTheme="minorEastAsia" w:hAnsi="Arial" w:cs="Arial"/>
          <w:b/>
          <w:bCs/>
          <w:noProof/>
          <w:szCs w:val="18"/>
          <w:lang w:eastAsia="zh-CN"/>
        </w:rPr>
        <w:t xml:space="preserve">, </w:t>
      </w:r>
      <w:r>
        <w:rPr>
          <w:rFonts w:ascii="Arial" w:eastAsiaTheme="minorEastAsia" w:hAnsi="Arial" w:cs="Arial"/>
          <w:b/>
          <w:bCs/>
          <w:noProof/>
          <w:szCs w:val="18"/>
          <w:lang w:eastAsia="zh-CN"/>
        </w:rPr>
        <w:t>10</w:t>
      </w:r>
      <w:r w:rsidRPr="00332EBA">
        <w:rPr>
          <w:rFonts w:ascii="Arial" w:eastAsiaTheme="minorEastAsia" w:hAnsi="Arial" w:cs="Arial"/>
          <w:b/>
          <w:bCs/>
          <w:noProof/>
          <w:szCs w:val="18"/>
          <w:lang w:eastAsia="zh-CN"/>
        </w:rPr>
        <w:t xml:space="preserve"> – </w:t>
      </w:r>
      <w:r>
        <w:rPr>
          <w:rFonts w:ascii="Arial" w:eastAsiaTheme="minorEastAsia" w:hAnsi="Arial" w:cs="Arial"/>
          <w:b/>
          <w:bCs/>
          <w:noProof/>
          <w:szCs w:val="18"/>
          <w:lang w:eastAsia="zh-CN"/>
        </w:rPr>
        <w:t>14 Oct</w:t>
      </w:r>
      <w:r w:rsidRPr="00332EBA">
        <w:rPr>
          <w:rFonts w:ascii="Arial" w:eastAsiaTheme="minorEastAsia" w:hAnsi="Arial" w:cs="Arial"/>
          <w:b/>
          <w:bCs/>
          <w:noProof/>
          <w:szCs w:val="18"/>
          <w:lang w:eastAsia="zh-CN"/>
        </w:rPr>
        <w:t>, 2016</w:t>
      </w:r>
    </w:p>
    <w:p w:rsidR="00332EBA" w:rsidRPr="00D90968" w:rsidRDefault="00332EBA" w:rsidP="00197EC1">
      <w:pPr>
        <w:pStyle w:val="FootnoteText"/>
        <w:rPr>
          <w:sz w:val="22"/>
        </w:rPr>
      </w:pPr>
      <w:bookmarkStart w:id="2" w:name="_GoBack"/>
      <w:bookmarkEnd w:id="2"/>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50901" w:rsidRDefault="00197EC1" w:rsidP="00197EC1">
      <w:pPr>
        <w:pStyle w:val="TdocHeader2"/>
        <w:rPr>
          <w:rFonts w:eastAsiaTheme="minorEastAsia"/>
          <w:sz w:val="20"/>
          <w:lang w:val="en-US" w:eastAsia="zh-CN"/>
        </w:rPr>
      </w:pPr>
      <w:r w:rsidRPr="008979AC">
        <w:rPr>
          <w:sz w:val="20"/>
          <w:lang w:val="en-US"/>
        </w:rPr>
        <w:t>Title:</w:t>
      </w:r>
      <w:bookmarkStart w:id="3" w:name="Title"/>
      <w:bookmarkEnd w:id="3"/>
      <w:r w:rsidRPr="008979AC">
        <w:rPr>
          <w:sz w:val="20"/>
          <w:lang w:val="en-US"/>
        </w:rPr>
        <w:tab/>
      </w:r>
      <w:r w:rsidR="00297214">
        <w:rPr>
          <w:rFonts w:eastAsiaTheme="minorEastAsia" w:hint="eastAsia"/>
          <w:sz w:val="20"/>
          <w:lang w:val="en-US" w:eastAsia="zh-CN"/>
        </w:rPr>
        <w:t xml:space="preserve">Receiver window discussion </w:t>
      </w:r>
      <w:r w:rsidR="003E44DD" w:rsidRPr="003E44DD">
        <w:rPr>
          <w:rFonts w:eastAsiaTheme="minorEastAsia"/>
          <w:sz w:val="20"/>
          <w:lang w:val="en-US" w:eastAsia="zh-CN"/>
        </w:rPr>
        <w:t>for LAA test</w:t>
      </w:r>
    </w:p>
    <w:p w:rsidR="00197EC1" w:rsidRPr="003E44DD"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3677F4">
        <w:rPr>
          <w:rFonts w:eastAsiaTheme="minorEastAsia"/>
          <w:sz w:val="20"/>
          <w:lang w:val="en-US" w:eastAsia="zh-CN"/>
        </w:rPr>
        <w:t>6.2.4</w:t>
      </w:r>
    </w:p>
    <w:p w:rsidR="00197EC1" w:rsidRPr="00FC5F69" w:rsidRDefault="00D90968" w:rsidP="00197EC1">
      <w:pPr>
        <w:pStyle w:val="TdocHeader2"/>
        <w:rPr>
          <w:rFonts w:eastAsiaTheme="minorEastAsia"/>
          <w:sz w:val="20"/>
          <w:lang w:val="en-US" w:eastAsia="zh-CN"/>
        </w:rPr>
      </w:pPr>
      <w:r>
        <w:rPr>
          <w:sz w:val="20"/>
          <w:lang w:val="en-US"/>
        </w:rPr>
        <w:t>Document for:</w:t>
      </w:r>
      <w:r>
        <w:rPr>
          <w:sz w:val="20"/>
          <w:lang w:val="en-US"/>
        </w:rPr>
        <w:tab/>
      </w:r>
      <w:r w:rsidR="00FC5F69">
        <w:rPr>
          <w:rFonts w:eastAsiaTheme="minorEastAsia" w:hint="eastAsia"/>
          <w:sz w:val="20"/>
          <w:lang w:val="en-US" w:eastAsia="zh-CN"/>
        </w:rPr>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4D7ED3" w:rsidRDefault="00AD6DBB" w:rsidP="004D7ED3">
      <w:pPr>
        <w:rPr>
          <w:lang w:val="en-US"/>
        </w:rPr>
      </w:pPr>
      <w:r>
        <w:rPr>
          <w:rFonts w:hint="eastAsia"/>
          <w:lang w:val="en-US"/>
        </w:rPr>
        <w:t xml:space="preserve">In LAA test, most of key parameters are settled except for the time offset setup between Pcell and LAA Scell(s). </w:t>
      </w:r>
      <w:r w:rsidR="00376C57">
        <w:rPr>
          <w:rFonts w:hint="eastAsia"/>
          <w:lang w:val="en-US"/>
        </w:rPr>
        <w:t xml:space="preserve">In this paper, we provide our analysis for this issue. </w:t>
      </w:r>
      <w:r w:rsidR="005E2174">
        <w:rPr>
          <w:rFonts w:hint="eastAsia"/>
          <w:lang w:val="en-US"/>
        </w:rPr>
        <w:t xml:space="preserve">Based on the </w:t>
      </w:r>
      <w:r w:rsidR="005E2174">
        <w:rPr>
          <w:lang w:val="en-US"/>
        </w:rPr>
        <w:t>analysis</w:t>
      </w:r>
      <w:r w:rsidR="005E2174">
        <w:rPr>
          <w:rFonts w:hint="eastAsia"/>
          <w:lang w:val="en-US"/>
        </w:rPr>
        <w:t xml:space="preserve">, we share our view on how to setup the time offset between Pcell and LAA Scell(s). </w:t>
      </w:r>
    </w:p>
    <w:p w:rsidR="0059060F" w:rsidRDefault="007D4D34" w:rsidP="004D7ED3">
      <w:pPr>
        <w:pStyle w:val="Heading1"/>
        <w:jc w:val="both"/>
        <w:rPr>
          <w:lang w:val="en-US"/>
        </w:rPr>
      </w:pPr>
      <w:r>
        <w:rPr>
          <w:rFonts w:hint="eastAsia"/>
          <w:lang w:val="en-US"/>
        </w:rPr>
        <w:t xml:space="preserve">Rel-10 receiver </w:t>
      </w:r>
      <w:r w:rsidR="00007DA0">
        <w:rPr>
          <w:rFonts w:hint="eastAsia"/>
          <w:lang w:val="en-US"/>
        </w:rPr>
        <w:t>w</w:t>
      </w:r>
      <w:r>
        <w:rPr>
          <w:rFonts w:hint="eastAsia"/>
          <w:lang w:val="en-US"/>
        </w:rPr>
        <w:t>indow discussion recap</w:t>
      </w:r>
    </w:p>
    <w:p w:rsidR="00CC1554" w:rsidRDefault="00EE1C55" w:rsidP="00AD6DBB">
      <w:r>
        <w:rPr>
          <w:rFonts w:hint="eastAsia"/>
          <w:lang w:val="en-US"/>
        </w:rPr>
        <w:t>In Rel-1</w:t>
      </w:r>
      <w:r w:rsidR="00297214">
        <w:rPr>
          <w:rFonts w:hint="eastAsia"/>
          <w:lang w:val="en-US"/>
        </w:rPr>
        <w:t>0</w:t>
      </w:r>
      <w:r>
        <w:rPr>
          <w:rFonts w:hint="eastAsia"/>
          <w:lang w:val="en-US"/>
        </w:rPr>
        <w:t xml:space="preserve">, the UE receiver window for CA was discussed in </w:t>
      </w:r>
      <w:r w:rsidR="007B568B">
        <w:rPr>
          <w:lang w:val="en-US"/>
        </w:rPr>
        <w:fldChar w:fldCharType="begin"/>
      </w:r>
      <w:r w:rsidR="007B568B">
        <w:rPr>
          <w:lang w:val="en-US"/>
        </w:rPr>
        <w:instrText xml:space="preserve"> </w:instrText>
      </w:r>
      <w:r w:rsidR="007B568B">
        <w:rPr>
          <w:rFonts w:hint="eastAsia"/>
          <w:lang w:val="en-US"/>
        </w:rPr>
        <w:instrText>REF _Ref458691537 \r \h</w:instrText>
      </w:r>
      <w:r w:rsidR="007B568B">
        <w:rPr>
          <w:lang w:val="en-US"/>
        </w:rPr>
        <w:instrText xml:space="preserve"> </w:instrText>
      </w:r>
      <w:r w:rsidR="007B568B">
        <w:rPr>
          <w:lang w:val="en-US"/>
        </w:rPr>
      </w:r>
      <w:r w:rsidR="007B568B">
        <w:rPr>
          <w:lang w:val="en-US"/>
        </w:rPr>
        <w:fldChar w:fldCharType="separate"/>
      </w:r>
      <w:r w:rsidR="007B568B">
        <w:rPr>
          <w:lang w:val="en-US"/>
        </w:rPr>
        <w:t>[1]</w:t>
      </w:r>
      <w:r w:rsidR="007B568B">
        <w:rPr>
          <w:lang w:val="en-US"/>
        </w:rPr>
        <w:fldChar w:fldCharType="end"/>
      </w:r>
      <w:r w:rsidR="007B568B">
        <w:rPr>
          <w:lang w:val="en-US"/>
        </w:rPr>
        <w:fldChar w:fldCharType="begin"/>
      </w:r>
      <w:r w:rsidR="007B568B">
        <w:rPr>
          <w:lang w:val="en-US"/>
        </w:rPr>
        <w:instrText xml:space="preserve"> REF _Ref458691540 \r \h </w:instrText>
      </w:r>
      <w:r w:rsidR="007B568B">
        <w:rPr>
          <w:lang w:val="en-US"/>
        </w:rPr>
      </w:r>
      <w:r w:rsidR="007B568B">
        <w:rPr>
          <w:lang w:val="en-US"/>
        </w:rPr>
        <w:fldChar w:fldCharType="separate"/>
      </w:r>
      <w:r w:rsidR="007B568B">
        <w:rPr>
          <w:lang w:val="en-US"/>
        </w:rPr>
        <w:t>[2]</w:t>
      </w:r>
      <w:r w:rsidR="007B568B">
        <w:rPr>
          <w:lang w:val="en-US"/>
        </w:rPr>
        <w:fldChar w:fldCharType="end"/>
      </w:r>
      <w:r w:rsidR="007B568B">
        <w:rPr>
          <w:rFonts w:hint="eastAsia"/>
          <w:lang w:val="en-US"/>
        </w:rPr>
        <w:t xml:space="preserve">. </w:t>
      </w:r>
      <w:r w:rsidR="00CC1554">
        <w:rPr>
          <w:rFonts w:hint="eastAsia"/>
          <w:lang w:val="en-US"/>
        </w:rPr>
        <w:t xml:space="preserve">In </w:t>
      </w:r>
      <w:r w:rsidR="00CC1554">
        <w:rPr>
          <w:rFonts w:hint="eastAsia"/>
          <w:lang w:val="en-US" w:eastAsia="ja-JP"/>
        </w:rPr>
        <w:t>Annex J.1 of 36.300</w:t>
      </w:r>
      <w:r w:rsidR="00CC1554">
        <w:rPr>
          <w:rFonts w:hint="eastAsia"/>
          <w:lang w:val="en-US"/>
        </w:rPr>
        <w:t xml:space="preserve">, the </w:t>
      </w:r>
      <w:r w:rsidR="00CC1554" w:rsidRPr="005132EF">
        <w:t>Deployment Scenarios</w:t>
      </w:r>
      <w:r w:rsidR="00CC1554">
        <w:rPr>
          <w:rFonts w:hint="eastAsia"/>
        </w:rPr>
        <w:t xml:space="preserve"> are given and </w:t>
      </w:r>
      <w:r w:rsidR="00CC1554">
        <w:t>recapped</w:t>
      </w:r>
      <w:r w:rsidR="00CC1554">
        <w:rPr>
          <w:rFonts w:hint="eastAsia"/>
        </w:rPr>
        <w:t xml:space="preserve"> in </w:t>
      </w:r>
      <w:r w:rsidR="00CC1554" w:rsidRPr="005132EF">
        <w:rPr>
          <w:bCs/>
        </w:rPr>
        <w:t>Table J.1-1</w:t>
      </w:r>
      <w:r w:rsidR="00CC1554">
        <w:rPr>
          <w:rFonts w:hint="eastAsia"/>
          <w:bCs/>
        </w:rPr>
        <w:t xml:space="preserve">. </w:t>
      </w:r>
    </w:p>
    <w:p w:rsidR="00CC1554" w:rsidRPr="005132EF" w:rsidRDefault="00CC1554" w:rsidP="00CC1554">
      <w:pPr>
        <w:pStyle w:val="TH"/>
      </w:pPr>
      <w:r w:rsidRPr="005132EF">
        <w:rPr>
          <w:bCs w:val="0"/>
        </w:rPr>
        <w:t>Table J.1-1:</w:t>
      </w:r>
      <w:r w:rsidRPr="005132EF">
        <w:t xml:space="preserve"> CA Deployment Scenarios (F2 &gt; F1).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
        <w:gridCol w:w="5192"/>
        <w:gridCol w:w="4346"/>
      </w:tblGrid>
      <w:tr w:rsidR="00CC1554" w:rsidRPr="005132EF" w:rsidTr="00304F09">
        <w:trPr>
          <w:trHeight w:val="61"/>
        </w:trPr>
        <w:tc>
          <w:tcPr>
            <w:tcW w:w="316" w:type="dxa"/>
            <w:shd w:val="clear" w:color="auto" w:fill="auto"/>
          </w:tcPr>
          <w:p w:rsidR="00CC1554" w:rsidRPr="005132EF" w:rsidRDefault="00CC1554" w:rsidP="00304F09">
            <w:pPr>
              <w:pStyle w:val="TAH"/>
              <w:widowControl w:val="0"/>
              <w:spacing w:before="60" w:after="60"/>
            </w:pPr>
            <w:r w:rsidRPr="005132EF">
              <w:t>#</w:t>
            </w:r>
          </w:p>
        </w:tc>
        <w:tc>
          <w:tcPr>
            <w:tcW w:w="5192" w:type="dxa"/>
            <w:shd w:val="clear" w:color="auto" w:fill="auto"/>
          </w:tcPr>
          <w:p w:rsidR="00CC1554" w:rsidRPr="005132EF" w:rsidRDefault="00CC1554" w:rsidP="00304F09">
            <w:pPr>
              <w:pStyle w:val="TAH"/>
              <w:widowControl w:val="0"/>
              <w:spacing w:before="60" w:after="60"/>
            </w:pPr>
            <w:r w:rsidRPr="005132EF">
              <w:t>Description</w:t>
            </w:r>
          </w:p>
        </w:tc>
        <w:tc>
          <w:tcPr>
            <w:tcW w:w="4346" w:type="dxa"/>
            <w:shd w:val="clear" w:color="auto" w:fill="auto"/>
            <w:vAlign w:val="center"/>
          </w:tcPr>
          <w:p w:rsidR="00CC1554" w:rsidRPr="005132EF" w:rsidRDefault="00CC1554" w:rsidP="00304F09">
            <w:pPr>
              <w:pStyle w:val="TAH"/>
              <w:widowControl w:val="0"/>
              <w:spacing w:before="60" w:after="60"/>
            </w:pPr>
            <w:r w:rsidRPr="005132EF">
              <w:t>Example</w:t>
            </w:r>
          </w:p>
        </w:tc>
      </w:tr>
      <w:tr w:rsidR="00CC1554" w:rsidRPr="005132EF" w:rsidTr="00304F09">
        <w:tc>
          <w:tcPr>
            <w:tcW w:w="316" w:type="dxa"/>
            <w:shd w:val="clear" w:color="auto" w:fill="auto"/>
          </w:tcPr>
          <w:p w:rsidR="00CC1554" w:rsidRPr="005132EF" w:rsidRDefault="00CC1554" w:rsidP="00304F09">
            <w:pPr>
              <w:pStyle w:val="TAH"/>
              <w:widowControl w:val="0"/>
              <w:spacing w:before="60" w:after="60"/>
            </w:pPr>
            <w:r w:rsidRPr="005132EF">
              <w:t>1</w:t>
            </w:r>
          </w:p>
        </w:tc>
        <w:tc>
          <w:tcPr>
            <w:tcW w:w="5192" w:type="dxa"/>
            <w:shd w:val="clear" w:color="auto" w:fill="auto"/>
          </w:tcPr>
          <w:p w:rsidR="00CC1554" w:rsidRPr="005132EF" w:rsidRDefault="00CC1554" w:rsidP="00304F09">
            <w:pPr>
              <w:pStyle w:val="TAC"/>
              <w:widowControl w:val="0"/>
              <w:spacing w:before="60" w:after="60"/>
              <w:jc w:val="left"/>
            </w:pPr>
            <w:r w:rsidRPr="005132EF">
              <w:t>F1 and F2 cells are co-located and overlaid, providing nearly the same coverage. Both layers provide sufficient coverage and mobility can be supported on both layers. Likely scenario is when F1 and F2 are of the same band, e.g., 2 GHz, 800 MHz, etc. It is expected that aggregation is possible between overlaid F1 and F2 cells.</w:t>
            </w:r>
          </w:p>
        </w:tc>
        <w:tc>
          <w:tcPr>
            <w:tcW w:w="4346" w:type="dxa"/>
            <w:shd w:val="clear" w:color="auto" w:fill="auto"/>
            <w:vAlign w:val="center"/>
          </w:tcPr>
          <w:p w:rsidR="00CC1554" w:rsidRPr="005132EF" w:rsidRDefault="00CC1554" w:rsidP="00304F09">
            <w:pPr>
              <w:widowControl w:val="0"/>
              <w:spacing w:before="60" w:after="60"/>
              <w:jc w:val="center"/>
            </w:pPr>
            <w:r w:rsidRPr="005132EF">
              <w:object w:dxaOrig="7355" w:dyaOrig="2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70.5pt" o:ole="">
                  <v:imagedata r:id="rId8" o:title=""/>
                </v:shape>
                <o:OLEObject Type="Embed" ProgID="Visio.Drawing.11" ShapeID="_x0000_i1025" DrawAspect="Content" ObjectID="_1536799591" r:id="rId9"/>
              </w:object>
            </w:r>
          </w:p>
        </w:tc>
      </w:tr>
      <w:tr w:rsidR="00CC1554" w:rsidRPr="005132EF" w:rsidTr="00304F09">
        <w:tc>
          <w:tcPr>
            <w:tcW w:w="316" w:type="dxa"/>
            <w:shd w:val="clear" w:color="auto" w:fill="auto"/>
          </w:tcPr>
          <w:p w:rsidR="00CC1554" w:rsidRPr="005132EF" w:rsidRDefault="00CC1554" w:rsidP="00304F09">
            <w:pPr>
              <w:pStyle w:val="TAH"/>
              <w:widowControl w:val="0"/>
              <w:spacing w:before="60" w:after="60"/>
            </w:pPr>
            <w:r w:rsidRPr="005132EF">
              <w:t>2</w:t>
            </w:r>
          </w:p>
        </w:tc>
        <w:tc>
          <w:tcPr>
            <w:tcW w:w="5192" w:type="dxa"/>
            <w:shd w:val="clear" w:color="auto" w:fill="auto"/>
          </w:tcPr>
          <w:p w:rsidR="00CC1554" w:rsidRPr="005132EF" w:rsidRDefault="00CC1554" w:rsidP="00304F09">
            <w:pPr>
              <w:pStyle w:val="TAC"/>
              <w:widowControl w:val="0"/>
              <w:spacing w:before="60" w:after="60"/>
              <w:jc w:val="left"/>
            </w:pPr>
            <w:r w:rsidRPr="005132EF">
              <w:t>F1 and F2 cells are co-located and overlaid, but F2 has smaller coverage due to larger path loss. Only F1 provides sufficient coverage and F2 is used to improve throughput. Mobility is performed based on F1 coverage. Likely scenario when F1 and F2 are of different bands, e.g., F1 = {800 MHz, 2 GHz} and F2 = {3.5 GHz}, etc. It is expected that aggregation is possible between overlaid F1 and F2 cells.</w:t>
            </w:r>
          </w:p>
        </w:tc>
        <w:tc>
          <w:tcPr>
            <w:tcW w:w="4346" w:type="dxa"/>
            <w:shd w:val="clear" w:color="auto" w:fill="auto"/>
            <w:vAlign w:val="center"/>
          </w:tcPr>
          <w:p w:rsidR="00CC1554" w:rsidRPr="005132EF" w:rsidRDefault="00CC1554" w:rsidP="00304F09">
            <w:pPr>
              <w:widowControl w:val="0"/>
              <w:spacing w:before="60" w:after="60"/>
              <w:jc w:val="center"/>
            </w:pPr>
            <w:r w:rsidRPr="005132EF">
              <w:object w:dxaOrig="7266" w:dyaOrig="2601">
                <v:shape id="_x0000_i1026" type="#_x0000_t75" style="width:199.5pt;height:71.25pt" o:ole="">
                  <v:imagedata r:id="rId10" o:title=""/>
                </v:shape>
                <o:OLEObject Type="Embed" ProgID="Visio.Drawing.11" ShapeID="_x0000_i1026" DrawAspect="Content" ObjectID="_1536799592" r:id="rId11"/>
              </w:object>
            </w:r>
          </w:p>
        </w:tc>
      </w:tr>
      <w:tr w:rsidR="00CC1554" w:rsidRPr="005132EF" w:rsidTr="00304F09">
        <w:tc>
          <w:tcPr>
            <w:tcW w:w="316" w:type="dxa"/>
            <w:shd w:val="clear" w:color="auto" w:fill="auto"/>
          </w:tcPr>
          <w:p w:rsidR="00CC1554" w:rsidRPr="005132EF" w:rsidRDefault="00CC1554" w:rsidP="00304F09">
            <w:pPr>
              <w:pStyle w:val="TAH"/>
              <w:widowControl w:val="0"/>
              <w:spacing w:before="60" w:after="60"/>
            </w:pPr>
            <w:r w:rsidRPr="005132EF">
              <w:t>3</w:t>
            </w:r>
          </w:p>
        </w:tc>
        <w:tc>
          <w:tcPr>
            <w:tcW w:w="5192" w:type="dxa"/>
            <w:shd w:val="clear" w:color="auto" w:fill="auto"/>
          </w:tcPr>
          <w:p w:rsidR="00CC1554" w:rsidRPr="005132EF" w:rsidRDefault="00CC1554" w:rsidP="00304F09">
            <w:pPr>
              <w:pStyle w:val="TAC"/>
              <w:widowControl w:val="0"/>
              <w:spacing w:before="60" w:after="60"/>
              <w:jc w:val="left"/>
            </w:pPr>
            <w:r w:rsidRPr="005132EF">
              <w:t>F1 and F2 cells are co-located but F2 antennas are directed to the cell boundaries of F1 so that cell edge throughput is increased. F1 provides sufficient coverage but F2 potentially has holes, e.g., due to larger path loss. Mobility is based on F1 coverage. Likely scenario is when F1 and F2 are of different bands, e.g., F1 = {800 MHz, 2 GHz} and F2 = {3.5 GHz}, etc. It is expected that F1 and F2 cells of the same eNB can be aggregated where coverage overlaps.</w:t>
            </w:r>
          </w:p>
        </w:tc>
        <w:tc>
          <w:tcPr>
            <w:tcW w:w="4346" w:type="dxa"/>
            <w:shd w:val="clear" w:color="auto" w:fill="auto"/>
            <w:vAlign w:val="center"/>
          </w:tcPr>
          <w:p w:rsidR="00CC1554" w:rsidRPr="005132EF" w:rsidRDefault="00CC1554" w:rsidP="00304F09">
            <w:pPr>
              <w:widowControl w:val="0"/>
              <w:spacing w:before="60" w:after="60"/>
              <w:jc w:val="center"/>
            </w:pPr>
            <w:r w:rsidRPr="005132EF">
              <w:object w:dxaOrig="7266" w:dyaOrig="2593">
                <v:shape id="_x0000_i1027" type="#_x0000_t75" style="width:199.5pt;height:71.25pt" o:ole="">
                  <v:imagedata r:id="rId12" o:title=""/>
                </v:shape>
                <o:OLEObject Type="Embed" ProgID="Visio.Drawing.11" ShapeID="_x0000_i1027" DrawAspect="Content" ObjectID="_1536799593" r:id="rId13"/>
              </w:object>
            </w:r>
          </w:p>
        </w:tc>
      </w:tr>
      <w:tr w:rsidR="00CC1554" w:rsidRPr="005132EF" w:rsidTr="00304F09">
        <w:tc>
          <w:tcPr>
            <w:tcW w:w="316" w:type="dxa"/>
            <w:shd w:val="clear" w:color="auto" w:fill="auto"/>
          </w:tcPr>
          <w:p w:rsidR="00CC1554" w:rsidRPr="005132EF" w:rsidRDefault="00CC1554" w:rsidP="00304F09">
            <w:pPr>
              <w:pStyle w:val="TAH"/>
              <w:widowControl w:val="0"/>
              <w:spacing w:before="60" w:after="60"/>
            </w:pPr>
            <w:r w:rsidRPr="005132EF">
              <w:t>4</w:t>
            </w:r>
          </w:p>
        </w:tc>
        <w:tc>
          <w:tcPr>
            <w:tcW w:w="5192" w:type="dxa"/>
            <w:shd w:val="clear" w:color="auto" w:fill="auto"/>
          </w:tcPr>
          <w:p w:rsidR="00CC1554" w:rsidRPr="005132EF" w:rsidRDefault="00CC1554" w:rsidP="00304F09">
            <w:pPr>
              <w:pStyle w:val="TAC"/>
              <w:widowControl w:val="0"/>
              <w:spacing w:before="60" w:after="60"/>
              <w:jc w:val="left"/>
            </w:pPr>
            <w:r w:rsidRPr="005132EF">
              <w:t>F1 provides macro coverage and on F2 Remote Radio Heads (RRHs) are used to improve throughput at hot spots. Mobility is performed based on F1 coverage. Likely scenarios are both when F1 and F2 are DL non-contiguous carrier on the same band, e.g., 1.7 GHz, etc. and F1 and F2 are of different bands, e.g., F1 = {800 MHz, 2 GHz} and F2 = {3.5 GHz}, etc. It is expected that F2 RRHs cells can be aggregated with the underlying F1 macro cells.</w:t>
            </w:r>
          </w:p>
        </w:tc>
        <w:tc>
          <w:tcPr>
            <w:tcW w:w="4346" w:type="dxa"/>
            <w:shd w:val="clear" w:color="auto" w:fill="auto"/>
            <w:vAlign w:val="center"/>
          </w:tcPr>
          <w:p w:rsidR="00CC1554" w:rsidRPr="005132EF" w:rsidRDefault="00CC1554" w:rsidP="00304F09">
            <w:pPr>
              <w:widowControl w:val="0"/>
              <w:spacing w:before="60" w:after="60"/>
              <w:jc w:val="center"/>
            </w:pPr>
            <w:r w:rsidRPr="005132EF">
              <w:object w:dxaOrig="7266" w:dyaOrig="2593">
                <v:shape id="_x0000_i1028" type="#_x0000_t75" style="width:199.5pt;height:71.25pt" o:ole="">
                  <v:imagedata r:id="rId14" o:title=""/>
                </v:shape>
                <o:OLEObject Type="Embed" ProgID="Visio.Drawing.11" ShapeID="_x0000_i1028" DrawAspect="Content" ObjectID="_1536799594" r:id="rId15"/>
              </w:object>
            </w:r>
          </w:p>
        </w:tc>
      </w:tr>
      <w:tr w:rsidR="00CC1554" w:rsidRPr="005132EF" w:rsidTr="00304F09">
        <w:tc>
          <w:tcPr>
            <w:tcW w:w="316" w:type="dxa"/>
            <w:tcBorders>
              <w:top w:val="single" w:sz="4" w:space="0" w:color="auto"/>
              <w:left w:val="single" w:sz="4" w:space="0" w:color="auto"/>
              <w:bottom w:val="single" w:sz="4" w:space="0" w:color="auto"/>
              <w:right w:val="single" w:sz="4" w:space="0" w:color="auto"/>
            </w:tcBorders>
            <w:shd w:val="clear" w:color="auto" w:fill="auto"/>
          </w:tcPr>
          <w:p w:rsidR="00CC1554" w:rsidRPr="005132EF" w:rsidRDefault="00CC1554" w:rsidP="00304F09">
            <w:pPr>
              <w:pStyle w:val="TAH"/>
              <w:widowControl w:val="0"/>
            </w:pPr>
            <w:r w:rsidRPr="005132EF">
              <w:t>5</w:t>
            </w:r>
          </w:p>
        </w:tc>
        <w:tc>
          <w:tcPr>
            <w:tcW w:w="5192" w:type="dxa"/>
            <w:tcBorders>
              <w:top w:val="single" w:sz="4" w:space="0" w:color="auto"/>
              <w:left w:val="single" w:sz="4" w:space="0" w:color="auto"/>
              <w:bottom w:val="single" w:sz="4" w:space="0" w:color="auto"/>
              <w:right w:val="single" w:sz="4" w:space="0" w:color="auto"/>
            </w:tcBorders>
            <w:shd w:val="clear" w:color="auto" w:fill="auto"/>
          </w:tcPr>
          <w:p w:rsidR="00CC1554" w:rsidRPr="005132EF" w:rsidRDefault="00CC1554" w:rsidP="00304F09">
            <w:pPr>
              <w:pStyle w:val="TAC"/>
              <w:jc w:val="left"/>
            </w:pPr>
            <w:r w:rsidRPr="005132EF">
              <w:t>Similar to scenario #2, but frequency selective repeaters are deployed so that coverage is extended for one of the carrier frequencies. It is expected that F1 and F2 cells of the same eNB can be aggregated where coverage overlaps.</w:t>
            </w:r>
          </w:p>
        </w:tc>
        <w:tc>
          <w:tcPr>
            <w:tcW w:w="4346" w:type="dxa"/>
            <w:tcBorders>
              <w:top w:val="single" w:sz="4" w:space="0" w:color="auto"/>
              <w:left w:val="single" w:sz="4" w:space="0" w:color="auto"/>
              <w:bottom w:val="single" w:sz="4" w:space="0" w:color="auto"/>
              <w:right w:val="single" w:sz="4" w:space="0" w:color="auto"/>
            </w:tcBorders>
            <w:shd w:val="clear" w:color="auto" w:fill="auto"/>
            <w:vAlign w:val="center"/>
          </w:tcPr>
          <w:p w:rsidR="00CC1554" w:rsidRPr="005132EF" w:rsidRDefault="00CC1554" w:rsidP="00304F09">
            <w:pPr>
              <w:widowControl w:val="0"/>
              <w:spacing w:before="60" w:after="60"/>
              <w:jc w:val="center"/>
            </w:pPr>
            <w:r w:rsidRPr="005132EF">
              <w:object w:dxaOrig="7266" w:dyaOrig="2601">
                <v:shape id="_x0000_i1029" type="#_x0000_t75" style="width:199.5pt;height:71.25pt" o:ole="">
                  <v:imagedata r:id="rId16" o:title=""/>
                </v:shape>
                <o:OLEObject Type="Embed" ProgID="Visio.Drawing.11" ShapeID="_x0000_i1029" DrawAspect="Content" ObjectID="_1536799595" r:id="rId17"/>
              </w:object>
            </w:r>
          </w:p>
        </w:tc>
      </w:tr>
    </w:tbl>
    <w:p w:rsidR="00CC1554" w:rsidRDefault="00CC1554" w:rsidP="00AD6DBB">
      <w:pPr>
        <w:rPr>
          <w:lang w:val="en-US"/>
        </w:rPr>
      </w:pPr>
    </w:p>
    <w:p w:rsidR="00F948ED" w:rsidRDefault="00F948ED" w:rsidP="00AD6DBB">
      <w:pPr>
        <w:rPr>
          <w:lang w:val="en-US"/>
        </w:rPr>
      </w:pPr>
      <w:r>
        <w:rPr>
          <w:rFonts w:hint="eastAsia"/>
          <w:lang w:val="en-US"/>
        </w:rPr>
        <w:lastRenderedPageBreak/>
        <w:t xml:space="preserve">For Scenario#4, the scenario is Marco + RRH deployment scenario. During </w:t>
      </w:r>
      <w:r w:rsidR="00764A46">
        <w:rPr>
          <w:rFonts w:hint="eastAsia"/>
          <w:lang w:val="en-US"/>
        </w:rPr>
        <w:t xml:space="preserve">Rel-10 </w:t>
      </w:r>
      <w:r>
        <w:rPr>
          <w:lang w:val="en-US"/>
        </w:rPr>
        <w:t>discussion</w:t>
      </w:r>
      <w:r>
        <w:rPr>
          <w:rFonts w:hint="eastAsia"/>
          <w:lang w:val="en-US"/>
        </w:rPr>
        <w:t>, some operator propose</w:t>
      </w:r>
      <w:r w:rsidR="00764A46">
        <w:rPr>
          <w:rFonts w:hint="eastAsia"/>
          <w:lang w:val="en-US"/>
        </w:rPr>
        <w:t>d</w:t>
      </w:r>
      <w:r>
        <w:rPr>
          <w:rFonts w:hint="eastAsia"/>
          <w:lang w:val="en-US"/>
        </w:rPr>
        <w:t xml:space="preserve"> maximum Macro cell </w:t>
      </w:r>
      <w:r w:rsidR="00764A46">
        <w:rPr>
          <w:lang w:val="en-US"/>
        </w:rPr>
        <w:t>radius is</w:t>
      </w:r>
      <w:r w:rsidR="00764A46">
        <w:rPr>
          <w:rFonts w:hint="eastAsia"/>
          <w:lang w:val="en-US"/>
        </w:rPr>
        <w:t xml:space="preserve"> </w:t>
      </w:r>
      <w:r>
        <w:rPr>
          <w:rFonts w:hint="eastAsia"/>
          <w:lang w:val="en-US"/>
        </w:rPr>
        <w:t xml:space="preserve">100 km. </w:t>
      </w:r>
      <w:r w:rsidR="00764A46">
        <w:rPr>
          <w:rFonts w:hint="eastAsia"/>
          <w:lang w:val="en-US"/>
        </w:rPr>
        <w:t xml:space="preserve">It will lead the maximum relative propagation delay difference is about 0.33 ms. </w:t>
      </w:r>
      <w:r w:rsidR="00B373FF">
        <w:rPr>
          <w:rFonts w:hint="eastAsia"/>
          <w:lang w:val="en-US"/>
        </w:rPr>
        <w:t xml:space="preserve">One </w:t>
      </w:r>
      <w:r w:rsidR="00764A46">
        <w:rPr>
          <w:rFonts w:hint="eastAsia"/>
          <w:lang w:val="en-US"/>
        </w:rPr>
        <w:t>example</w:t>
      </w:r>
      <w:r w:rsidR="001D2D8A">
        <w:rPr>
          <w:rFonts w:hint="eastAsia"/>
          <w:lang w:val="en-US"/>
        </w:rPr>
        <w:t xml:space="preserve"> scenario </w:t>
      </w:r>
      <w:r w:rsidR="00B373FF">
        <w:rPr>
          <w:rFonts w:hint="eastAsia"/>
          <w:lang w:val="en-US"/>
        </w:rPr>
        <w:t>is</w:t>
      </w:r>
      <w:r w:rsidR="00764A46">
        <w:rPr>
          <w:rFonts w:hint="eastAsia"/>
          <w:lang w:val="en-US"/>
        </w:rPr>
        <w:t xml:space="preserve"> shown in </w:t>
      </w:r>
      <w:r w:rsidR="00B97A82">
        <w:rPr>
          <w:lang w:val="en-US"/>
        </w:rPr>
        <w:fldChar w:fldCharType="begin"/>
      </w:r>
      <w:r w:rsidR="00B97A82">
        <w:rPr>
          <w:lang w:val="en-US"/>
        </w:rPr>
        <w:instrText xml:space="preserve"> </w:instrText>
      </w:r>
      <w:r w:rsidR="00B97A82">
        <w:rPr>
          <w:rFonts w:hint="eastAsia"/>
          <w:lang w:val="en-US"/>
        </w:rPr>
        <w:instrText>REF _Ref458784446 \h</w:instrText>
      </w:r>
      <w:r w:rsidR="00B97A82">
        <w:rPr>
          <w:lang w:val="en-US"/>
        </w:rPr>
        <w:instrText xml:space="preserve"> </w:instrText>
      </w:r>
      <w:r w:rsidR="00B97A82">
        <w:rPr>
          <w:lang w:val="en-US"/>
        </w:rPr>
      </w:r>
      <w:r w:rsidR="00B97A82">
        <w:rPr>
          <w:lang w:val="en-US"/>
        </w:rPr>
        <w:fldChar w:fldCharType="separate"/>
      </w:r>
      <w:r w:rsidR="00B97A82">
        <w:t xml:space="preserve">Figure </w:t>
      </w:r>
      <w:r w:rsidR="00B97A82">
        <w:rPr>
          <w:noProof/>
        </w:rPr>
        <w:t>1</w:t>
      </w:r>
      <w:r w:rsidR="00B97A82">
        <w:rPr>
          <w:lang w:val="en-US"/>
        </w:rPr>
        <w:fldChar w:fldCharType="end"/>
      </w:r>
      <w:r w:rsidR="00B97A82">
        <w:rPr>
          <w:rFonts w:hint="eastAsia"/>
          <w:lang w:val="en-US"/>
        </w:rPr>
        <w:t xml:space="preserve">. </w:t>
      </w:r>
      <w:r w:rsidR="00B97A82">
        <w:rPr>
          <w:lang w:val="en-US"/>
        </w:rPr>
        <w:t>W</w:t>
      </w:r>
      <w:r w:rsidR="00B97A82">
        <w:rPr>
          <w:rFonts w:hint="eastAsia"/>
          <w:lang w:val="en-US"/>
        </w:rPr>
        <w:t>hen UE</w:t>
      </w:r>
      <w:r w:rsidR="005C31B6">
        <w:rPr>
          <w:rFonts w:hint="eastAsia"/>
          <w:lang w:val="en-US"/>
        </w:rPr>
        <w:t xml:space="preserve"> is at the cell edge of Macro cell </w:t>
      </w:r>
      <w:r w:rsidR="005C31B6">
        <w:rPr>
          <w:lang w:val="en-US"/>
        </w:rPr>
        <w:t>and</w:t>
      </w:r>
      <w:r w:rsidR="005C31B6">
        <w:rPr>
          <w:rFonts w:hint="eastAsia"/>
          <w:lang w:val="en-US"/>
        </w:rPr>
        <w:t xml:space="preserve"> RRH is located at next to UE</w:t>
      </w:r>
      <w:r w:rsidR="00CC70C3">
        <w:rPr>
          <w:rFonts w:hint="eastAsia"/>
          <w:lang w:val="en-US"/>
        </w:rPr>
        <w:t xml:space="preserve">, the relative propagation delay is 0.33 ms. </w:t>
      </w:r>
      <w:r w:rsidR="00B97A82">
        <w:rPr>
          <w:rFonts w:hint="eastAsia"/>
          <w:lang w:val="en-US"/>
        </w:rPr>
        <w:t xml:space="preserve"> </w:t>
      </w:r>
    </w:p>
    <w:p w:rsidR="00CD376A" w:rsidRDefault="00CD376A" w:rsidP="00CD376A">
      <w:pPr>
        <w:keepNext/>
        <w:jc w:val="center"/>
      </w:pPr>
      <w:r>
        <w:rPr>
          <w:noProof/>
          <w:lang w:val="en-US"/>
        </w:rPr>
        <w:drawing>
          <wp:inline distT="0" distB="0" distL="0" distR="0" wp14:anchorId="67242CE7" wp14:editId="71DB8716">
            <wp:extent cx="3084830" cy="1347470"/>
            <wp:effectExtent l="0" t="0" r="127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84830" cy="1347470"/>
                    </a:xfrm>
                    <a:prstGeom prst="rect">
                      <a:avLst/>
                    </a:prstGeom>
                    <a:noFill/>
                  </pic:spPr>
                </pic:pic>
              </a:graphicData>
            </a:graphic>
          </wp:inline>
        </w:drawing>
      </w:r>
    </w:p>
    <w:p w:rsidR="00764A46" w:rsidRDefault="00CD376A" w:rsidP="00CD376A">
      <w:pPr>
        <w:pStyle w:val="Caption"/>
      </w:pPr>
      <w:bookmarkStart w:id="5" w:name="_Ref458784446"/>
      <w:r>
        <w:t xml:space="preserve">Figure </w:t>
      </w:r>
      <w:r>
        <w:fldChar w:fldCharType="begin"/>
      </w:r>
      <w:r>
        <w:instrText xml:space="preserve"> SEQ Figure \* ARABIC </w:instrText>
      </w:r>
      <w:r>
        <w:fldChar w:fldCharType="separate"/>
      </w:r>
      <w:r w:rsidR="00B97A82">
        <w:rPr>
          <w:noProof/>
        </w:rPr>
        <w:t>1</w:t>
      </w:r>
      <w:r>
        <w:fldChar w:fldCharType="end"/>
      </w:r>
      <w:bookmarkEnd w:id="5"/>
      <w:r>
        <w:rPr>
          <w:rFonts w:hint="eastAsia"/>
        </w:rPr>
        <w:t xml:space="preserve">: </w:t>
      </w:r>
      <w:r w:rsidR="00B97A82">
        <w:rPr>
          <w:rFonts w:hint="eastAsia"/>
        </w:rPr>
        <w:t xml:space="preserve">One example scenario </w:t>
      </w:r>
      <w:r w:rsidR="00F174BD">
        <w:rPr>
          <w:rFonts w:hint="eastAsia"/>
        </w:rPr>
        <w:t xml:space="preserve">which </w:t>
      </w:r>
      <w:r w:rsidR="00B97A82">
        <w:rPr>
          <w:rFonts w:hint="eastAsia"/>
        </w:rPr>
        <w:t>lead to maximum relative propagation delay</w:t>
      </w:r>
    </w:p>
    <w:p w:rsidR="00297214" w:rsidRDefault="00F174BD" w:rsidP="00BE2907">
      <w:pPr>
        <w:rPr>
          <w:lang w:val="en-US"/>
        </w:rPr>
      </w:pPr>
      <w:r>
        <w:rPr>
          <w:rFonts w:hint="eastAsia"/>
        </w:rPr>
        <w:t>In order to avoid unnecessarily tight requirements</w:t>
      </w:r>
      <w:r w:rsidR="00BE2907">
        <w:rPr>
          <w:rFonts w:hint="eastAsia"/>
        </w:rPr>
        <w:t>, some operator</w:t>
      </w:r>
      <w:r w:rsidR="00F6793E">
        <w:rPr>
          <w:rFonts w:hint="eastAsia"/>
        </w:rPr>
        <w:t>s</w:t>
      </w:r>
      <w:r w:rsidR="00BE2907">
        <w:rPr>
          <w:rFonts w:hint="eastAsia"/>
        </w:rPr>
        <w:t xml:space="preserve"> </w:t>
      </w:r>
      <w:r w:rsidR="00BE2907">
        <w:t>propose</w:t>
      </w:r>
      <w:r w:rsidR="00BE2907">
        <w:rPr>
          <w:rFonts w:hint="eastAsia"/>
        </w:rPr>
        <w:t xml:space="preserve">d UE </w:t>
      </w:r>
      <w:r w:rsidR="00BE2907">
        <w:t>receiver</w:t>
      </w:r>
      <w:r w:rsidR="00BE2907">
        <w:rPr>
          <w:rFonts w:hint="eastAsia"/>
        </w:rPr>
        <w:t xml:space="preserve"> shall be able to </w:t>
      </w:r>
      <w:r w:rsidR="00297214" w:rsidRPr="009B3EC0">
        <w:rPr>
          <w:lang w:val="en-US"/>
        </w:rPr>
        <w:t xml:space="preserve">cope with a relative propagation delay difference </w:t>
      </w:r>
      <w:r w:rsidR="00BE2907">
        <w:rPr>
          <w:rFonts w:hint="eastAsia"/>
          <w:lang w:val="en-US"/>
        </w:rPr>
        <w:t xml:space="preserve">up to </w:t>
      </w:r>
      <w:r w:rsidR="00297214" w:rsidRPr="009B3EC0">
        <w:rPr>
          <w:lang w:val="en-US"/>
        </w:rPr>
        <w:t>0</w:t>
      </w:r>
      <w:r w:rsidR="00297214">
        <w:rPr>
          <w:rFonts w:hint="eastAsia"/>
          <w:lang w:val="en-US" w:eastAsia="ja-JP"/>
        </w:rPr>
        <w:t>.</w:t>
      </w:r>
      <w:r w:rsidR="00BE2907">
        <w:rPr>
          <w:rFonts w:hint="eastAsia"/>
          <w:lang w:val="en-US"/>
        </w:rPr>
        <w:t>1</w:t>
      </w:r>
      <w:r w:rsidR="00297214" w:rsidRPr="009B3EC0">
        <w:rPr>
          <w:lang w:val="en-US"/>
        </w:rPr>
        <w:t xml:space="preserve"> ms</w:t>
      </w:r>
      <w:r w:rsidR="00297214">
        <w:rPr>
          <w:rFonts w:hint="eastAsia"/>
          <w:lang w:val="en-US" w:eastAsia="ja-JP"/>
        </w:rPr>
        <w:t xml:space="preserve"> between two component carriers in inter-band non-contiguous CA</w:t>
      </w:r>
      <w:r w:rsidR="00BE2907">
        <w:rPr>
          <w:rFonts w:hint="eastAsia"/>
          <w:lang w:val="en-US"/>
        </w:rPr>
        <w:t xml:space="preserve"> </w:t>
      </w:r>
      <w:r w:rsidR="00BE2907">
        <w:rPr>
          <w:lang w:val="en-US"/>
        </w:rPr>
        <w:fldChar w:fldCharType="begin"/>
      </w:r>
      <w:r w:rsidR="00BE2907">
        <w:rPr>
          <w:lang w:val="en-US"/>
        </w:rPr>
        <w:instrText xml:space="preserve"> </w:instrText>
      </w:r>
      <w:r w:rsidR="00BE2907">
        <w:rPr>
          <w:rFonts w:hint="eastAsia"/>
          <w:lang w:val="en-US"/>
        </w:rPr>
        <w:instrText>REF _Ref458691537 \r \h</w:instrText>
      </w:r>
      <w:r w:rsidR="00BE2907">
        <w:rPr>
          <w:lang w:val="en-US"/>
        </w:rPr>
        <w:instrText xml:space="preserve"> </w:instrText>
      </w:r>
      <w:r w:rsidR="00BE2907">
        <w:rPr>
          <w:lang w:val="en-US"/>
        </w:rPr>
      </w:r>
      <w:r w:rsidR="00BE2907">
        <w:rPr>
          <w:lang w:val="en-US"/>
        </w:rPr>
        <w:fldChar w:fldCharType="separate"/>
      </w:r>
      <w:r w:rsidR="00BE2907">
        <w:rPr>
          <w:lang w:val="en-US"/>
        </w:rPr>
        <w:t>[1]</w:t>
      </w:r>
      <w:r w:rsidR="00BE2907">
        <w:rPr>
          <w:lang w:val="en-US"/>
        </w:rPr>
        <w:fldChar w:fldCharType="end"/>
      </w:r>
      <w:r w:rsidR="00BE2907">
        <w:rPr>
          <w:rFonts w:hint="eastAsia"/>
          <w:lang w:val="en-US"/>
        </w:rPr>
        <w:t xml:space="preserve"> based on realistic deployment.  However, in order to handle large propagation delay difference, it will reduce the UE processing time budget and increase </w:t>
      </w:r>
      <w:r w:rsidR="00917770">
        <w:rPr>
          <w:rFonts w:hint="eastAsia"/>
          <w:lang w:val="en-US"/>
        </w:rPr>
        <w:t xml:space="preserve">UE </w:t>
      </w:r>
      <w:r w:rsidR="00BE2907">
        <w:rPr>
          <w:rFonts w:hint="eastAsia"/>
          <w:lang w:val="en-US"/>
        </w:rPr>
        <w:t xml:space="preserve">data buffering </w:t>
      </w:r>
      <w:r w:rsidR="00BE2907">
        <w:rPr>
          <w:lang w:val="en-US"/>
        </w:rPr>
        <w:t>during</w:t>
      </w:r>
      <w:r w:rsidR="00BE2907">
        <w:rPr>
          <w:rFonts w:hint="eastAsia"/>
          <w:lang w:val="en-US"/>
        </w:rPr>
        <w:t xml:space="preserve"> the time difference between Pcell and Scell. Thus,</w:t>
      </w:r>
      <w:r w:rsidR="0043468E">
        <w:rPr>
          <w:rFonts w:hint="eastAsia"/>
          <w:lang w:val="en-US"/>
        </w:rPr>
        <w:t xml:space="preserve"> some UE vendors propose to further reduce the time difference between CCs. With </w:t>
      </w:r>
      <w:r w:rsidR="00BE2907">
        <w:rPr>
          <w:rFonts w:hint="eastAsia"/>
          <w:lang w:val="en-US"/>
        </w:rPr>
        <w:t xml:space="preserve">some </w:t>
      </w:r>
      <w:r w:rsidR="00BE2907">
        <w:rPr>
          <w:lang w:val="en-US"/>
        </w:rPr>
        <w:t>compromise,</w:t>
      </w:r>
      <w:r w:rsidR="00BE2907">
        <w:rPr>
          <w:rFonts w:hint="eastAsia"/>
          <w:lang w:val="en-US"/>
        </w:rPr>
        <w:t xml:space="preserve"> RAN4 agreed:</w:t>
      </w:r>
    </w:p>
    <w:p w:rsidR="00BE2907" w:rsidRDefault="001F1730" w:rsidP="00BE2907">
      <w:r>
        <w:rPr>
          <w:b/>
          <w:i/>
          <w:lang w:eastAsia="ja-JP"/>
        </w:rPr>
        <w:t xml:space="preserve">UE receiver </w:t>
      </w:r>
      <w:r>
        <w:rPr>
          <w:rFonts w:hint="eastAsia"/>
          <w:b/>
          <w:i/>
        </w:rPr>
        <w:t xml:space="preserve">shall be able </w:t>
      </w:r>
      <w:r>
        <w:rPr>
          <w:b/>
          <w:i/>
          <w:lang w:eastAsia="ja-JP"/>
        </w:rPr>
        <w:t xml:space="preserve">to cope with a relative propagation delay difference not greater than </w:t>
      </w:r>
      <w:r>
        <w:rPr>
          <w:rFonts w:hint="eastAsia"/>
          <w:b/>
          <w:i/>
        </w:rPr>
        <w:t>30 usec</w:t>
      </w:r>
      <w:r>
        <w:rPr>
          <w:b/>
          <w:i/>
          <w:lang w:eastAsia="ja-JP"/>
        </w:rPr>
        <w:t xml:space="preserve"> between two component carriers in inter-band non-contiguous CA.</w:t>
      </w:r>
    </w:p>
    <w:p w:rsidR="001F1730" w:rsidRDefault="001F1730" w:rsidP="003560F7">
      <w:r>
        <w:rPr>
          <w:rFonts w:hint="eastAsia"/>
        </w:rPr>
        <w:t>These agreements are captured in CR</w:t>
      </w:r>
      <w:r w:rsidR="0008701B">
        <w:rPr>
          <w:rFonts w:hint="eastAsia"/>
        </w:rPr>
        <w:t xml:space="preserve"> </w:t>
      </w:r>
      <w:r w:rsidR="0008701B">
        <w:fldChar w:fldCharType="begin"/>
      </w:r>
      <w:r w:rsidR="0008701B">
        <w:instrText xml:space="preserve"> </w:instrText>
      </w:r>
      <w:r w:rsidR="0008701B">
        <w:rPr>
          <w:rFonts w:hint="eastAsia"/>
        </w:rPr>
        <w:instrText>REF _Ref458691537 \r \h</w:instrText>
      </w:r>
      <w:r w:rsidR="0008701B">
        <w:instrText xml:space="preserve"> </w:instrText>
      </w:r>
      <w:r w:rsidR="0008701B">
        <w:fldChar w:fldCharType="separate"/>
      </w:r>
      <w:r w:rsidR="0008701B">
        <w:t>[1]</w:t>
      </w:r>
      <w:r w:rsidR="0008701B">
        <w:fldChar w:fldCharType="end"/>
      </w:r>
      <w:r w:rsidR="00200D65">
        <w:rPr>
          <w:rFonts w:hint="eastAsia"/>
        </w:rPr>
        <w:t xml:space="preserve"> in </w:t>
      </w:r>
      <w:r w:rsidR="00200D65">
        <w:t>Table 8.2.1.1.1-2</w:t>
      </w:r>
      <w:r w:rsidR="00200D65">
        <w:rPr>
          <w:rFonts w:hint="eastAsia"/>
        </w:rPr>
        <w:t xml:space="preserve"> of current 36.101 as shown in the following table. </w:t>
      </w:r>
    </w:p>
    <w:p w:rsidR="00200D65" w:rsidRDefault="00200D65" w:rsidP="00200D65">
      <w:pPr>
        <w:pStyle w:val="TH"/>
      </w:pPr>
      <w:r>
        <w:t>Table 8.2.1.1.1-2: Minimum performance (FRC)</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863"/>
        <w:gridCol w:w="1767"/>
        <w:gridCol w:w="969"/>
        <w:gridCol w:w="878"/>
        <w:gridCol w:w="1218"/>
        <w:gridCol w:w="1176"/>
        <w:gridCol w:w="677"/>
        <w:gridCol w:w="637"/>
        <w:gridCol w:w="728"/>
      </w:tblGrid>
      <w:tr w:rsidR="00200D65" w:rsidTr="00200D65">
        <w:trPr>
          <w:trHeight w:val="207"/>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lang w:eastAsia="ja-JP"/>
              </w:rPr>
            </w:pPr>
            <w:r>
              <w:t>Test num.</w:t>
            </w:r>
          </w:p>
        </w:tc>
        <w:tc>
          <w:tcPr>
            <w:tcW w:w="4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lang w:eastAsia="ja-JP"/>
              </w:rPr>
            </w:pPr>
            <w:r>
              <w:t>Band-width</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lang w:eastAsia="ja-JP"/>
              </w:rPr>
            </w:pPr>
            <w:r>
              <w:t>Referencechannel</w:t>
            </w:r>
          </w:p>
        </w:tc>
        <w:tc>
          <w:tcPr>
            <w:tcW w:w="5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lang w:eastAsia="ja-JP"/>
              </w:rPr>
            </w:pPr>
            <w:r>
              <w:t>OCNG pattern</w:t>
            </w:r>
          </w:p>
        </w:tc>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rFonts w:eastAsia="MS Mincho"/>
                <w:lang w:eastAsia="ja-JP"/>
              </w:rPr>
            </w:pPr>
            <w:r>
              <w:t>Propa-</w:t>
            </w:r>
          </w:p>
          <w:p w:rsidR="00200D65" w:rsidRDefault="00200D65">
            <w:pPr>
              <w:pStyle w:val="TAH"/>
              <w:rPr>
                <w:lang w:eastAsia="ja-JP"/>
              </w:rPr>
            </w:pPr>
            <w:r>
              <w:t>gation condi-tion</w:t>
            </w:r>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lang w:eastAsia="ja-JP"/>
              </w:rPr>
            </w:pPr>
            <w:r>
              <w:t>Correlation matrix and antenna config.</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lang w:eastAsia="ja-JP"/>
              </w:rPr>
            </w:pPr>
            <w:r>
              <w:t>Reference value</w:t>
            </w:r>
          </w:p>
        </w:tc>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rFonts w:eastAsia="MS Mincho"/>
                <w:lang w:eastAsia="ja-JP"/>
              </w:rPr>
            </w:pPr>
            <w:r>
              <w:t>UE cate-</w:t>
            </w:r>
          </w:p>
          <w:p w:rsidR="00200D65" w:rsidRDefault="00200D65">
            <w:pPr>
              <w:pStyle w:val="TAH"/>
              <w:rPr>
                <w:lang w:eastAsia="ja-JP"/>
              </w:rPr>
            </w:pPr>
            <w:r>
              <w:t>gory</w:t>
            </w:r>
          </w:p>
        </w:tc>
        <w:tc>
          <w:tcPr>
            <w:tcW w:w="3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rFonts w:eastAsia="MS Mincho"/>
                <w:lang w:eastAsia="ja-JP"/>
              </w:rPr>
            </w:pPr>
            <w:r>
              <w:t>CA capa-</w:t>
            </w:r>
          </w:p>
          <w:p w:rsidR="00200D65" w:rsidRDefault="00200D65">
            <w:pPr>
              <w:pStyle w:val="TAH"/>
              <w:rPr>
                <w:lang w:eastAsia="ja-JP"/>
              </w:rPr>
            </w:pPr>
            <w:r>
              <w:t>bility</w:t>
            </w:r>
          </w:p>
        </w:tc>
      </w:tr>
      <w:tr w:rsidR="00200D65" w:rsidTr="00200D65">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rFonts w:eastAsia="MS Mincho"/>
                <w:lang w:eastAsia="ja-JP"/>
              </w:rPr>
            </w:pPr>
            <w:r>
              <w:t>Fraction of maximum</w:t>
            </w:r>
          </w:p>
          <w:p w:rsidR="00200D65" w:rsidRDefault="00200D65">
            <w:pPr>
              <w:pStyle w:val="TAH"/>
              <w:rPr>
                <w:lang w:eastAsia="ja-JP"/>
              </w:rPr>
            </w:pPr>
            <w:r>
              <w:t>throughput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H"/>
              <w:rPr>
                <w:lang w:eastAsia="ja-JP"/>
              </w:rPr>
            </w:pPr>
            <w: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b/>
                <w:sz w:val="18"/>
                <w:lang w:eastAsia="ja-JP"/>
              </w:rPr>
            </w:pPr>
          </w:p>
        </w:tc>
      </w:tr>
      <w:tr w:rsidR="00200D65" w:rsidTr="00200D65">
        <w:trPr>
          <w:trHeight w:val="105"/>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1</w:t>
            </w: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10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R.2 FDD</w:t>
            </w:r>
          </w:p>
        </w:tc>
        <w:tc>
          <w:tcPr>
            <w:tcW w:w="50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OP.1 FDD</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EVA5</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1x2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-1.0</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1-8</w:t>
            </w:r>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Non-CA</w:t>
            </w:r>
          </w:p>
        </w:tc>
      </w:tr>
      <w:tr w:rsidR="00200D65" w:rsidTr="00200D65">
        <w:trPr>
          <w:trHeight w:val="10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spacing w:after="0"/>
              <w:rPr>
                <w:rFonts w:ascii="Arial" w:hAnsi="Arial"/>
                <w:sz w:val="18"/>
                <w:lang w:eastAsia="ja-JP"/>
              </w:rPr>
            </w:pP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2x10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R.2 FDD</w:t>
            </w:r>
          </w:p>
        </w:tc>
        <w:tc>
          <w:tcPr>
            <w:tcW w:w="507"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EVA5</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1x2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-1.1</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lang w:eastAsia="ja-JP"/>
              </w:rPr>
            </w:pPr>
            <w:r>
              <w:t>3-8</w:t>
            </w:r>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C"/>
              <w:rPr>
                <w:rFonts w:eastAsia="MS Mincho"/>
                <w:lang w:eastAsia="ja-JP"/>
              </w:rPr>
            </w:pPr>
            <w:r>
              <w:t>CL_A-A</w:t>
            </w:r>
          </w:p>
          <w:p w:rsidR="00200D65" w:rsidRDefault="00200D65">
            <w:pPr>
              <w:pStyle w:val="TAC"/>
              <w:rPr>
                <w:lang w:eastAsia="ja-JP"/>
              </w:rPr>
            </w:pPr>
            <w:r>
              <w:t>(Note 2),</w:t>
            </w:r>
          </w:p>
        </w:tc>
      </w:tr>
      <w:tr w:rsidR="00200D65" w:rsidTr="00200D65">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zh-CN"/>
              </w:rPr>
            </w:pPr>
            <w:r>
              <w:rPr>
                <w:lang w:eastAsia="zh-CN"/>
              </w:rPr>
              <w:t>…</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507"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tcPr>
          <w:p w:rsidR="00200D65" w:rsidRDefault="00200D65">
            <w:pPr>
              <w:pStyle w:val="TAC"/>
              <w:rPr>
                <w:lang w:eastAsia="ja-JP"/>
              </w:rPr>
            </w:pPr>
            <w:r>
              <w:rPr>
                <w:lang w:eastAsia="zh-CN"/>
              </w:rPr>
              <w:t>…</w:t>
            </w:r>
          </w:p>
        </w:tc>
      </w:tr>
      <w:tr w:rsidR="00200D65" w:rsidTr="00200D65">
        <w:trPr>
          <w:trHeight w:val="441"/>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rsidR="00200D65" w:rsidRDefault="00200D65">
            <w:pPr>
              <w:pStyle w:val="TAN"/>
              <w:rPr>
                <w:rFonts w:eastAsia="MS Mincho"/>
                <w:lang w:eastAsia="zh-CN"/>
              </w:rPr>
            </w:pPr>
            <w:r>
              <w:rPr>
                <w:lang w:eastAsia="zh-CN"/>
              </w:rPr>
              <w:t>Note 1:</w:t>
            </w:r>
            <w:r>
              <w:rPr>
                <w:lang w:eastAsia="zh-CN"/>
              </w:rPr>
              <w:tab/>
              <w:t>For CA capable UE, the OCNG pattern applies for each CC.</w:t>
            </w:r>
          </w:p>
          <w:p w:rsidR="00200D65" w:rsidRDefault="00200D65">
            <w:pPr>
              <w:pStyle w:val="TAN"/>
              <w:rPr>
                <w:lang w:eastAsia="ja-JP"/>
              </w:rPr>
            </w:pPr>
            <w:r w:rsidRPr="00200D65">
              <w:rPr>
                <w:highlight w:val="green"/>
                <w:lang w:eastAsia="zh-CN"/>
              </w:rPr>
              <w:t xml:space="preserve">Note 2: </w:t>
            </w:r>
            <w:r w:rsidRPr="00200D65">
              <w:rPr>
                <w:highlight w:val="green"/>
                <w:lang w:eastAsia="zh-CN"/>
              </w:rPr>
              <w:tab/>
              <w:t>30us</w:t>
            </w:r>
            <w:r w:rsidRPr="00200D65">
              <w:rPr>
                <w:highlight w:val="green"/>
                <w:lang w:eastAsia="ja-JP"/>
              </w:rPr>
              <w:t>ec</w:t>
            </w:r>
            <w:r w:rsidRPr="00200D65">
              <w:rPr>
                <w:highlight w:val="green"/>
                <w:lang w:eastAsia="zh-CN"/>
              </w:rPr>
              <w:t xml:space="preserve"> timing difference between two CCs is applied in inter-band CA case.</w:t>
            </w:r>
          </w:p>
        </w:tc>
      </w:tr>
    </w:tbl>
    <w:p w:rsidR="00200D65" w:rsidRPr="00200D65" w:rsidRDefault="00200D65" w:rsidP="003560F7">
      <w:pPr>
        <w:rPr>
          <w:lang w:val="en-US"/>
        </w:rPr>
      </w:pPr>
    </w:p>
    <w:p w:rsidR="00F313B4" w:rsidRDefault="00F313B4" w:rsidP="00F313B4">
      <w:pPr>
        <w:pStyle w:val="Heading1"/>
        <w:jc w:val="both"/>
        <w:rPr>
          <w:lang w:val="en-US"/>
        </w:rPr>
      </w:pPr>
      <w:r>
        <w:rPr>
          <w:rFonts w:hint="eastAsia"/>
          <w:lang w:val="en-US"/>
        </w:rPr>
        <w:t>Discussion</w:t>
      </w:r>
    </w:p>
    <w:p w:rsidR="0036300C" w:rsidRDefault="00F313B4" w:rsidP="003560F7">
      <w:r>
        <w:rPr>
          <w:rFonts w:hint="eastAsia"/>
        </w:rPr>
        <w:t xml:space="preserve">In LAA scenarios, the deployment is the same as legacy inter-band CA deployments and the UE receiver </w:t>
      </w:r>
      <w:r w:rsidR="00FB4208">
        <w:rPr>
          <w:rFonts w:hint="eastAsia"/>
        </w:rPr>
        <w:t xml:space="preserve">for LAA </w:t>
      </w:r>
      <w:r>
        <w:rPr>
          <w:rFonts w:hint="eastAsia"/>
        </w:rPr>
        <w:t xml:space="preserve">shall </w:t>
      </w:r>
      <w:r w:rsidR="00FB4208">
        <w:rPr>
          <w:rFonts w:hint="eastAsia"/>
        </w:rPr>
        <w:t>follow the same receiver window as legacy inter-band CA</w:t>
      </w:r>
      <w:r w:rsidR="00146483">
        <w:rPr>
          <w:rFonts w:hint="eastAsia"/>
        </w:rPr>
        <w:t xml:space="preserve">. </w:t>
      </w:r>
      <w:r w:rsidR="00511EA7">
        <w:rPr>
          <w:rFonts w:hint="eastAsia"/>
        </w:rPr>
        <w:t xml:space="preserve">Based on the RAN4 discussion in RAN#79Ad Hoc meeting, most of UE vendors believe that for UE supporting LAA, 30 usec timing difference between 2CCs can be </w:t>
      </w:r>
      <w:r w:rsidR="00511EA7">
        <w:t>handled</w:t>
      </w:r>
      <w:r w:rsidR="00511EA7">
        <w:rPr>
          <w:rFonts w:hint="eastAsia"/>
        </w:rPr>
        <w:t xml:space="preserve">. </w:t>
      </w:r>
      <w:r w:rsidR="0036300C">
        <w:rPr>
          <w:rFonts w:hint="eastAsia"/>
        </w:rPr>
        <w:t xml:space="preserve">Thus, </w:t>
      </w:r>
      <w:r w:rsidR="00511EA7">
        <w:rPr>
          <w:rFonts w:hint="eastAsia"/>
        </w:rPr>
        <w:t xml:space="preserve">the following </w:t>
      </w:r>
      <w:r w:rsidR="0036300C">
        <w:rPr>
          <w:rFonts w:hint="eastAsia"/>
        </w:rPr>
        <w:t xml:space="preserve">common understanding </w:t>
      </w:r>
      <w:r w:rsidR="00511EA7">
        <w:rPr>
          <w:rFonts w:hint="eastAsia"/>
        </w:rPr>
        <w:t xml:space="preserve">in </w:t>
      </w:r>
      <w:r w:rsidR="0036300C">
        <w:rPr>
          <w:rFonts w:hint="eastAsia"/>
        </w:rPr>
        <w:t>RAN</w:t>
      </w:r>
      <w:r w:rsidR="00511EA7">
        <w:rPr>
          <w:rFonts w:hint="eastAsia"/>
        </w:rPr>
        <w:t>4 group can be achieved as:</w:t>
      </w:r>
    </w:p>
    <w:p w:rsidR="0036300C" w:rsidRPr="006C2594" w:rsidRDefault="0036300C" w:rsidP="006C2594">
      <w:pPr>
        <w:ind w:firstLine="720"/>
        <w:rPr>
          <w:b/>
          <w:i/>
        </w:rPr>
      </w:pPr>
      <w:r w:rsidRPr="006C2594">
        <w:rPr>
          <w:rFonts w:hint="eastAsia"/>
          <w:b/>
          <w:i/>
        </w:rPr>
        <w:t xml:space="preserve">For UE supporting LAA, </w:t>
      </w:r>
      <w:r w:rsidRPr="006C2594">
        <w:rPr>
          <w:b/>
          <w:i/>
        </w:rPr>
        <w:t>it can</w:t>
      </w:r>
      <w:r w:rsidRPr="006C2594">
        <w:rPr>
          <w:rFonts w:hint="eastAsia"/>
          <w:b/>
          <w:i/>
        </w:rPr>
        <w:t xml:space="preserve"> handle up </w:t>
      </w:r>
      <w:r w:rsidRPr="006C2594">
        <w:rPr>
          <w:b/>
          <w:i/>
        </w:rPr>
        <w:t>to 30</w:t>
      </w:r>
      <w:r w:rsidRPr="006C2594">
        <w:rPr>
          <w:rFonts w:hint="eastAsia"/>
          <w:b/>
          <w:i/>
        </w:rPr>
        <w:t xml:space="preserve"> usec </w:t>
      </w:r>
      <w:r w:rsidRPr="006C2594">
        <w:rPr>
          <w:b/>
          <w:i/>
        </w:rPr>
        <w:t>timing</w:t>
      </w:r>
      <w:r w:rsidRPr="006C2594">
        <w:rPr>
          <w:rFonts w:hint="eastAsia"/>
          <w:b/>
          <w:i/>
        </w:rPr>
        <w:t xml:space="preserve"> difference between</w:t>
      </w:r>
      <w:r w:rsidR="006C2594">
        <w:rPr>
          <w:rFonts w:hint="eastAsia"/>
          <w:b/>
          <w:i/>
        </w:rPr>
        <w:t xml:space="preserve"> any </w:t>
      </w:r>
      <w:r w:rsidRPr="006C2594">
        <w:rPr>
          <w:rFonts w:hint="eastAsia"/>
          <w:b/>
          <w:i/>
        </w:rPr>
        <w:t>2CC</w:t>
      </w:r>
      <w:r w:rsidR="006C2594">
        <w:rPr>
          <w:rFonts w:hint="eastAsia"/>
          <w:b/>
          <w:i/>
        </w:rPr>
        <w:t xml:space="preserve">s </w:t>
      </w:r>
    </w:p>
    <w:p w:rsidR="006C2594" w:rsidRDefault="006C2594" w:rsidP="003560F7">
      <w:r>
        <w:rPr>
          <w:rFonts w:hint="eastAsia"/>
        </w:rPr>
        <w:t xml:space="preserve">The question is on how to reflect this common </w:t>
      </w:r>
      <w:r>
        <w:t>understanding</w:t>
      </w:r>
      <w:r>
        <w:rPr>
          <w:rFonts w:hint="eastAsia"/>
        </w:rPr>
        <w:t>, we have several options:</w:t>
      </w:r>
    </w:p>
    <w:p w:rsidR="004541BC" w:rsidRDefault="006C2594" w:rsidP="004541BC">
      <w:pPr>
        <w:ind w:leftChars="100" w:left="220"/>
        <w:rPr>
          <w:i/>
        </w:rPr>
      </w:pPr>
      <w:r w:rsidRPr="004541BC">
        <w:rPr>
          <w:rFonts w:hint="eastAsia"/>
          <w:b/>
        </w:rPr>
        <w:t>Option 1</w:t>
      </w:r>
      <w:r>
        <w:rPr>
          <w:rFonts w:hint="eastAsia"/>
        </w:rPr>
        <w:t xml:space="preserve">: </w:t>
      </w:r>
      <w:r w:rsidRPr="004541BC">
        <w:rPr>
          <w:rFonts w:hint="eastAsia"/>
          <w:i/>
        </w:rPr>
        <w:t>Set 30</w:t>
      </w:r>
      <w:r w:rsidR="000719DC" w:rsidRPr="000719DC">
        <w:rPr>
          <w:rFonts w:hint="eastAsia"/>
          <w:i/>
        </w:rPr>
        <w:t xml:space="preserve"> </w:t>
      </w:r>
      <w:r w:rsidR="000719DC" w:rsidRPr="004541BC">
        <w:rPr>
          <w:rFonts w:hint="eastAsia"/>
          <w:i/>
        </w:rPr>
        <w:t>usec</w:t>
      </w:r>
      <w:r w:rsidRPr="004541BC">
        <w:rPr>
          <w:rFonts w:hint="eastAsia"/>
          <w:i/>
        </w:rPr>
        <w:t xml:space="preserve"> </w:t>
      </w:r>
      <w:r w:rsidR="000719DC">
        <w:rPr>
          <w:rFonts w:hint="eastAsia"/>
          <w:i/>
        </w:rPr>
        <w:t xml:space="preserve">timing difference between any 2CCs </w:t>
      </w:r>
      <w:r w:rsidRPr="004541BC">
        <w:rPr>
          <w:rFonts w:hint="eastAsia"/>
          <w:i/>
        </w:rPr>
        <w:t>for all LAA test</w:t>
      </w:r>
      <w:r w:rsidR="004541BC" w:rsidRPr="004541BC">
        <w:rPr>
          <w:rFonts w:hint="eastAsia"/>
          <w:i/>
        </w:rPr>
        <w:t xml:space="preserve"> </w:t>
      </w:r>
    </w:p>
    <w:p w:rsidR="006C2594" w:rsidRPr="004541BC" w:rsidRDefault="004541BC" w:rsidP="004541BC">
      <w:pPr>
        <w:ind w:leftChars="100" w:left="220"/>
        <w:rPr>
          <w:i/>
        </w:rPr>
      </w:pPr>
      <w:r>
        <w:rPr>
          <w:rFonts w:hint="eastAsia"/>
          <w:b/>
        </w:rPr>
        <w:t>Option 2:</w:t>
      </w:r>
      <w:r>
        <w:rPr>
          <w:rFonts w:hint="eastAsia"/>
          <w:i/>
        </w:rPr>
        <w:t xml:space="preserve"> S</w:t>
      </w:r>
      <w:r w:rsidRPr="004541BC">
        <w:rPr>
          <w:rFonts w:hint="eastAsia"/>
          <w:i/>
        </w:rPr>
        <w:t>et 30 usec</w:t>
      </w:r>
      <w:r w:rsidR="000719DC" w:rsidRPr="004541BC">
        <w:rPr>
          <w:rFonts w:hint="eastAsia"/>
          <w:i/>
        </w:rPr>
        <w:t xml:space="preserve"> </w:t>
      </w:r>
      <w:r w:rsidR="000719DC">
        <w:rPr>
          <w:rFonts w:hint="eastAsia"/>
          <w:i/>
        </w:rPr>
        <w:t xml:space="preserve">timing difference between any 2CCs </w:t>
      </w:r>
      <w:r w:rsidRPr="004541BC">
        <w:rPr>
          <w:rFonts w:hint="eastAsia"/>
          <w:i/>
        </w:rPr>
        <w:t xml:space="preserve"> for one LAA PDSCH test</w:t>
      </w:r>
    </w:p>
    <w:p w:rsidR="006C2594" w:rsidRDefault="006C2594" w:rsidP="004541BC">
      <w:pPr>
        <w:ind w:leftChars="100" w:left="220"/>
      </w:pPr>
      <w:r w:rsidRPr="004541BC">
        <w:rPr>
          <w:rFonts w:hint="eastAsia"/>
          <w:b/>
        </w:rPr>
        <w:lastRenderedPageBreak/>
        <w:t xml:space="preserve">Option </w:t>
      </w:r>
      <w:r w:rsidR="004541BC">
        <w:rPr>
          <w:rFonts w:hint="eastAsia"/>
          <w:b/>
        </w:rPr>
        <w:t>3</w:t>
      </w:r>
      <w:r>
        <w:rPr>
          <w:rFonts w:hint="eastAsia"/>
        </w:rPr>
        <w:t xml:space="preserve">: </w:t>
      </w:r>
      <w:r w:rsidRPr="004541BC">
        <w:rPr>
          <w:rFonts w:hint="eastAsia"/>
          <w:i/>
        </w:rPr>
        <w:t>Set 30 usec</w:t>
      </w:r>
      <w:r w:rsidR="000719DC" w:rsidRPr="004541BC">
        <w:rPr>
          <w:rFonts w:hint="eastAsia"/>
          <w:i/>
        </w:rPr>
        <w:t xml:space="preserve"> </w:t>
      </w:r>
      <w:r w:rsidR="000719DC">
        <w:rPr>
          <w:rFonts w:hint="eastAsia"/>
          <w:i/>
        </w:rPr>
        <w:t xml:space="preserve">timing difference between any 2CCs </w:t>
      </w:r>
      <w:r w:rsidRPr="004541BC">
        <w:rPr>
          <w:rFonts w:hint="eastAsia"/>
          <w:i/>
        </w:rPr>
        <w:t xml:space="preserve"> for PDCCH LAA test</w:t>
      </w:r>
      <w:r w:rsidR="0090398C" w:rsidRPr="004541BC">
        <w:rPr>
          <w:rFonts w:hint="eastAsia"/>
          <w:i/>
        </w:rPr>
        <w:t xml:space="preserve"> only</w:t>
      </w:r>
    </w:p>
    <w:p w:rsidR="001D3222" w:rsidRPr="00A15D4F" w:rsidRDefault="004541BC" w:rsidP="003560F7">
      <w:r>
        <w:rPr>
          <w:rFonts w:hint="eastAsia"/>
        </w:rPr>
        <w:t xml:space="preserve">For option 1, it can </w:t>
      </w:r>
      <w:r>
        <w:t>guarantee</w:t>
      </w:r>
      <w:r>
        <w:rPr>
          <w:rFonts w:hint="eastAsia"/>
        </w:rPr>
        <w:t xml:space="preserve"> UE can </w:t>
      </w:r>
      <w:r>
        <w:t>handle</w:t>
      </w:r>
      <w:r>
        <w:rPr>
          <w:rFonts w:hint="eastAsia"/>
        </w:rPr>
        <w:t xml:space="preserve"> 30 usec timing difference in any cases since both higher </w:t>
      </w:r>
      <w:r>
        <w:t>modulatio</w:t>
      </w:r>
      <w:r>
        <w:rPr>
          <w:rFonts w:hint="eastAsia"/>
        </w:rPr>
        <w:t xml:space="preserve">n and lower </w:t>
      </w:r>
      <w:r>
        <w:t>modulation</w:t>
      </w:r>
      <w:r>
        <w:rPr>
          <w:rFonts w:hint="eastAsia"/>
        </w:rPr>
        <w:t xml:space="preserve"> are covered in these options. Most of the problems such as timing/frequency tracking problem, buffer problem, and processing time problem can be reflected in case UE has any problem for the processing. </w:t>
      </w:r>
      <w:r w:rsidR="001D3222">
        <w:rPr>
          <w:rFonts w:hint="eastAsia"/>
        </w:rPr>
        <w:t xml:space="preserve"> For option 3, since lower SNR will be used for the PDCCH test, lower MCS will be used for PDSCH as well. Hence, the problems such as buffer problem and </w:t>
      </w:r>
      <w:r w:rsidR="001D3222">
        <w:t>processing</w:t>
      </w:r>
      <w:r w:rsidR="001D3222">
        <w:rPr>
          <w:rFonts w:hint="eastAsia"/>
        </w:rPr>
        <w:t xml:space="preserve"> time problem may be not fully reflected, but the receiver window can be </w:t>
      </w:r>
      <w:r w:rsidR="001D3222">
        <w:t>verified</w:t>
      </w:r>
      <w:r w:rsidR="001D3222">
        <w:rPr>
          <w:rFonts w:hint="eastAsia"/>
        </w:rPr>
        <w:t xml:space="preserve"> somehow. </w:t>
      </w:r>
    </w:p>
    <w:p w:rsidR="004D7ED3" w:rsidRDefault="004D7ED3" w:rsidP="004D7ED3">
      <w:pPr>
        <w:pStyle w:val="Heading1"/>
        <w:rPr>
          <w:lang w:val="en-US"/>
        </w:rPr>
      </w:pPr>
      <w:r>
        <w:rPr>
          <w:rFonts w:hint="eastAsia"/>
          <w:lang w:val="en-US"/>
        </w:rPr>
        <w:t>Conclusion</w:t>
      </w:r>
    </w:p>
    <w:p w:rsidR="00EE1C55" w:rsidRDefault="00B3684C" w:rsidP="004D7ED3">
      <w:pPr>
        <w:rPr>
          <w:lang w:val="en-US"/>
        </w:rPr>
      </w:pPr>
      <w:r>
        <w:rPr>
          <w:rFonts w:hint="eastAsia"/>
          <w:lang w:val="en-US"/>
        </w:rPr>
        <w:t xml:space="preserve">In this paper, </w:t>
      </w:r>
      <w:r w:rsidR="00A15D4F">
        <w:rPr>
          <w:rFonts w:hint="eastAsia"/>
          <w:lang w:val="en-US"/>
        </w:rPr>
        <w:t xml:space="preserve">we provide some analysis for the receiver window </w:t>
      </w:r>
      <w:r w:rsidR="00786007">
        <w:rPr>
          <w:rFonts w:hint="eastAsia"/>
          <w:lang w:val="en-US"/>
        </w:rPr>
        <w:t xml:space="preserve">for LAA test. We suggest RAN4 group select one option from the </w:t>
      </w:r>
      <w:r w:rsidR="00786007">
        <w:rPr>
          <w:lang w:val="en-US"/>
        </w:rPr>
        <w:t>following</w:t>
      </w:r>
      <w:r w:rsidR="00786007">
        <w:rPr>
          <w:rFonts w:hint="eastAsia"/>
          <w:lang w:val="en-US"/>
        </w:rPr>
        <w:t xml:space="preserve"> options:</w:t>
      </w:r>
    </w:p>
    <w:p w:rsidR="000719DC" w:rsidRDefault="000719DC" w:rsidP="000719DC">
      <w:pPr>
        <w:ind w:leftChars="100" w:left="220"/>
        <w:rPr>
          <w:i/>
        </w:rPr>
      </w:pPr>
      <w:r w:rsidRPr="004541BC">
        <w:rPr>
          <w:rFonts w:hint="eastAsia"/>
          <w:b/>
        </w:rPr>
        <w:t>Option 1</w:t>
      </w:r>
      <w:r>
        <w:rPr>
          <w:rFonts w:hint="eastAsia"/>
        </w:rPr>
        <w:t xml:space="preserve">: </w:t>
      </w:r>
      <w:r w:rsidRPr="004541BC">
        <w:rPr>
          <w:rFonts w:hint="eastAsia"/>
          <w:i/>
        </w:rPr>
        <w:t>Set 30</w:t>
      </w:r>
      <w:r w:rsidRPr="000719DC">
        <w:rPr>
          <w:rFonts w:hint="eastAsia"/>
          <w:i/>
        </w:rPr>
        <w:t xml:space="preserve"> </w:t>
      </w:r>
      <w:r w:rsidRPr="004541BC">
        <w:rPr>
          <w:rFonts w:hint="eastAsia"/>
          <w:i/>
        </w:rPr>
        <w:t xml:space="preserve">usec </w:t>
      </w:r>
      <w:r>
        <w:rPr>
          <w:rFonts w:hint="eastAsia"/>
          <w:i/>
        </w:rPr>
        <w:t xml:space="preserve">timing difference between any 2CCs </w:t>
      </w:r>
      <w:r w:rsidRPr="004541BC">
        <w:rPr>
          <w:rFonts w:hint="eastAsia"/>
          <w:i/>
        </w:rPr>
        <w:t xml:space="preserve">for all LAA test </w:t>
      </w:r>
    </w:p>
    <w:p w:rsidR="000719DC" w:rsidRPr="004541BC" w:rsidRDefault="000719DC" w:rsidP="000719DC">
      <w:pPr>
        <w:ind w:leftChars="100" w:left="220"/>
        <w:rPr>
          <w:i/>
        </w:rPr>
      </w:pPr>
      <w:r>
        <w:rPr>
          <w:rFonts w:hint="eastAsia"/>
          <w:b/>
        </w:rPr>
        <w:t>Option 2:</w:t>
      </w:r>
      <w:r>
        <w:rPr>
          <w:rFonts w:hint="eastAsia"/>
          <w:i/>
        </w:rPr>
        <w:t xml:space="preserve"> S</w:t>
      </w:r>
      <w:r w:rsidRPr="004541BC">
        <w:rPr>
          <w:rFonts w:hint="eastAsia"/>
          <w:i/>
        </w:rPr>
        <w:t xml:space="preserve">et 30 usec </w:t>
      </w:r>
      <w:r>
        <w:rPr>
          <w:rFonts w:hint="eastAsia"/>
          <w:i/>
        </w:rPr>
        <w:t xml:space="preserve">timing difference between any 2CCs </w:t>
      </w:r>
      <w:r w:rsidRPr="004541BC">
        <w:rPr>
          <w:rFonts w:hint="eastAsia"/>
          <w:i/>
        </w:rPr>
        <w:t xml:space="preserve"> for one LAA PDSCH test</w:t>
      </w:r>
    </w:p>
    <w:p w:rsidR="00EE1C55" w:rsidRPr="000719DC" w:rsidRDefault="000719DC" w:rsidP="00786007">
      <w:pPr>
        <w:ind w:leftChars="100" w:left="220"/>
      </w:pPr>
      <w:r w:rsidRPr="004541BC">
        <w:rPr>
          <w:rFonts w:hint="eastAsia"/>
          <w:b/>
        </w:rPr>
        <w:t xml:space="preserve">Option </w:t>
      </w:r>
      <w:r>
        <w:rPr>
          <w:rFonts w:hint="eastAsia"/>
          <w:b/>
        </w:rPr>
        <w:t>3</w:t>
      </w:r>
      <w:r>
        <w:rPr>
          <w:rFonts w:hint="eastAsia"/>
        </w:rPr>
        <w:t xml:space="preserve">: </w:t>
      </w:r>
      <w:r w:rsidRPr="004541BC">
        <w:rPr>
          <w:rFonts w:hint="eastAsia"/>
          <w:i/>
        </w:rPr>
        <w:t xml:space="preserve">Set 30 usec </w:t>
      </w:r>
      <w:r>
        <w:rPr>
          <w:rFonts w:hint="eastAsia"/>
          <w:i/>
        </w:rPr>
        <w:t xml:space="preserve">timing difference between any 2CCs </w:t>
      </w:r>
      <w:r w:rsidRPr="004541BC">
        <w:rPr>
          <w:rFonts w:hint="eastAsia"/>
          <w:i/>
        </w:rPr>
        <w:t xml:space="preserve"> for PDCCH LAA test only</w:t>
      </w:r>
    </w:p>
    <w:p w:rsidR="00EE1C55" w:rsidRDefault="00EE1C55" w:rsidP="00EE1C55">
      <w:pPr>
        <w:pStyle w:val="Heading1"/>
        <w:numPr>
          <w:ilvl w:val="0"/>
          <w:numId w:val="0"/>
        </w:numPr>
        <w:ind w:left="432" w:hanging="432"/>
        <w:rPr>
          <w:lang w:val="en-US"/>
        </w:rPr>
      </w:pPr>
      <w:r>
        <w:rPr>
          <w:rFonts w:hint="eastAsia"/>
          <w:lang w:val="en-US"/>
        </w:rPr>
        <w:t>Reference</w:t>
      </w:r>
    </w:p>
    <w:p w:rsidR="00EE1C55" w:rsidRDefault="00EE1C55" w:rsidP="00EE1C55">
      <w:pPr>
        <w:pStyle w:val="ListParagraph"/>
        <w:numPr>
          <w:ilvl w:val="0"/>
          <w:numId w:val="20"/>
        </w:numPr>
        <w:ind w:firstLineChars="0"/>
        <w:rPr>
          <w:lang w:val="en-US"/>
        </w:rPr>
      </w:pPr>
      <w:bookmarkStart w:id="6" w:name="_Ref458691537"/>
      <w:r w:rsidRPr="00EE1C55">
        <w:rPr>
          <w:lang w:val="en-US"/>
        </w:rPr>
        <w:t>R4-123568, CR on CA UE receiver time window, Meeting #63, Docomo</w:t>
      </w:r>
      <w:bookmarkEnd w:id="6"/>
    </w:p>
    <w:p w:rsidR="00EE1C55" w:rsidRDefault="00EE1C55" w:rsidP="00EE1C55">
      <w:pPr>
        <w:pStyle w:val="ListParagraph"/>
        <w:numPr>
          <w:ilvl w:val="0"/>
          <w:numId w:val="20"/>
        </w:numPr>
        <w:ind w:firstLineChars="0"/>
        <w:rPr>
          <w:lang w:val="en-US"/>
        </w:rPr>
      </w:pPr>
      <w:bookmarkStart w:id="7" w:name="_Ref458691540"/>
      <w:r w:rsidRPr="00EE1C55">
        <w:rPr>
          <w:lang w:val="en-US"/>
        </w:rPr>
        <w:t>R4-104176, UE processing time in case of inter-band Carrier Aggregation, Panasonic</w:t>
      </w:r>
      <w:bookmarkEnd w:id="7"/>
    </w:p>
    <w:p w:rsidR="007C0366" w:rsidRDefault="007C0366" w:rsidP="00297214">
      <w:pPr>
        <w:pStyle w:val="ListParagraph"/>
        <w:numPr>
          <w:ilvl w:val="0"/>
          <w:numId w:val="20"/>
        </w:numPr>
        <w:ind w:firstLineChars="0"/>
        <w:rPr>
          <w:lang w:val="en-US"/>
        </w:rPr>
      </w:pPr>
      <w:r w:rsidRPr="00D3522E">
        <w:rPr>
          <w:lang w:val="en-US"/>
        </w:rPr>
        <w:t>R4-104048</w:t>
      </w:r>
      <w:r w:rsidRPr="00D3522E">
        <w:rPr>
          <w:rFonts w:hint="eastAsia"/>
          <w:lang w:val="en-US"/>
        </w:rPr>
        <w:t xml:space="preserve">, </w:t>
      </w:r>
      <w:r w:rsidRPr="00D3522E">
        <w:rPr>
          <w:lang w:val="en-US"/>
        </w:rPr>
        <w:t>UE receiver window in Carrier Aggregation</w:t>
      </w:r>
      <w:r w:rsidRPr="00D3522E">
        <w:rPr>
          <w:rFonts w:hint="eastAsia"/>
          <w:lang w:val="en-US"/>
        </w:rPr>
        <w:t xml:space="preserve">, </w:t>
      </w:r>
      <w:r w:rsidRPr="00D3522E">
        <w:rPr>
          <w:lang w:val="en-US"/>
        </w:rPr>
        <w:t>NTT DOCOMO</w:t>
      </w:r>
      <w:r w:rsidRPr="00D3522E">
        <w:rPr>
          <w:rFonts w:hint="eastAsia"/>
          <w:lang w:val="en-US"/>
        </w:rPr>
        <w:t>, Nov. 2010</w:t>
      </w:r>
    </w:p>
    <w:sectPr w:rsidR="007C0366">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280" w:rsidRDefault="00750280">
      <w:r>
        <w:separator/>
      </w:r>
    </w:p>
  </w:endnote>
  <w:endnote w:type="continuationSeparator" w:id="0">
    <w:p w:rsidR="00750280" w:rsidRDefault="0075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38C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38C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280" w:rsidRDefault="00750280">
      <w:r>
        <w:separator/>
      </w:r>
    </w:p>
  </w:footnote>
  <w:footnote w:type="continuationSeparator" w:id="0">
    <w:p w:rsidR="00750280" w:rsidRDefault="0075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E21" w:rsidRDefault="006B3E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CE71057"/>
    <w:multiLevelType w:val="hybridMultilevel"/>
    <w:tmpl w:val="2A30CA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104B0B"/>
    <w:multiLevelType w:val="hybridMultilevel"/>
    <w:tmpl w:val="185A8D7A"/>
    <w:lvl w:ilvl="0" w:tplc="C13A541C">
      <w:start w:val="1"/>
      <w:numFmt w:val="bullet"/>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568D32F6"/>
    <w:multiLevelType w:val="hybridMultilevel"/>
    <w:tmpl w:val="71985DB4"/>
    <w:lvl w:ilvl="0" w:tplc="FBD4BA30">
      <w:start w:val="1"/>
      <w:numFmt w:val="decimal"/>
      <w:lvlText w:val="[%1]."/>
      <w:lvlJc w:val="left"/>
      <w:pPr>
        <w:ind w:left="420" w:hanging="420"/>
      </w:pPr>
      <w:rPr>
        <w:rFonts w:hint="eastAsia"/>
        <w:spacing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5" w15:restartNumberingAfterBreak="0">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4"/>
  </w:num>
  <w:num w:numId="3">
    <w:abstractNumId w:val="7"/>
  </w:num>
  <w:num w:numId="4">
    <w:abstractNumId w:val="19"/>
  </w:num>
  <w:num w:numId="5">
    <w:abstractNumId w:val="3"/>
  </w:num>
  <w:num w:numId="6">
    <w:abstractNumId w:val="10"/>
  </w:num>
  <w:num w:numId="7">
    <w:abstractNumId w:val="16"/>
  </w:num>
  <w:num w:numId="8">
    <w:abstractNumId w:val="13"/>
  </w:num>
  <w:num w:numId="9">
    <w:abstractNumId w:val="9"/>
  </w:num>
  <w:num w:numId="10">
    <w:abstractNumId w:val="17"/>
  </w:num>
  <w:num w:numId="11">
    <w:abstractNumId w:val="15"/>
  </w:num>
  <w:num w:numId="12">
    <w:abstractNumId w:val="4"/>
  </w:num>
  <w:num w:numId="13">
    <w:abstractNumId w:val="2"/>
  </w:num>
  <w:num w:numId="14">
    <w:abstractNumId w:val="6"/>
  </w:num>
  <w:num w:numId="15">
    <w:abstractNumId w:val="18"/>
  </w:num>
  <w:num w:numId="16">
    <w:abstractNumId w:val="8"/>
  </w:num>
  <w:num w:numId="17">
    <w:abstractNumId w:val="1"/>
  </w:num>
  <w:num w:numId="18">
    <w:abstractNumId w:val="0"/>
  </w:num>
  <w:num w:numId="19">
    <w:abstractNumId w:val="0"/>
  </w:num>
  <w:num w:numId="20">
    <w:abstractNumId w:val="12"/>
  </w:num>
  <w:num w:numId="21">
    <w:abstractNumId w:val="1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0FE"/>
    <w:rsid w:val="0000486D"/>
    <w:rsid w:val="00007DA0"/>
    <w:rsid w:val="00013840"/>
    <w:rsid w:val="00015A19"/>
    <w:rsid w:val="000173A2"/>
    <w:rsid w:val="00026EDA"/>
    <w:rsid w:val="00031496"/>
    <w:rsid w:val="0003279D"/>
    <w:rsid w:val="00035A95"/>
    <w:rsid w:val="00040A52"/>
    <w:rsid w:val="00043AFB"/>
    <w:rsid w:val="00047FEF"/>
    <w:rsid w:val="0005240C"/>
    <w:rsid w:val="0005242B"/>
    <w:rsid w:val="00064F2A"/>
    <w:rsid w:val="000719DC"/>
    <w:rsid w:val="00072848"/>
    <w:rsid w:val="00075BE0"/>
    <w:rsid w:val="00080027"/>
    <w:rsid w:val="00084CEC"/>
    <w:rsid w:val="00086F37"/>
    <w:rsid w:val="0008701B"/>
    <w:rsid w:val="00094048"/>
    <w:rsid w:val="000948D4"/>
    <w:rsid w:val="000A0C1A"/>
    <w:rsid w:val="000A752C"/>
    <w:rsid w:val="000B26D2"/>
    <w:rsid w:val="000B4583"/>
    <w:rsid w:val="000B6F93"/>
    <w:rsid w:val="000D390B"/>
    <w:rsid w:val="000D63CC"/>
    <w:rsid w:val="000F144F"/>
    <w:rsid w:val="000F60B2"/>
    <w:rsid w:val="000F642E"/>
    <w:rsid w:val="00100E91"/>
    <w:rsid w:val="00110B3D"/>
    <w:rsid w:val="001121D2"/>
    <w:rsid w:val="001260F6"/>
    <w:rsid w:val="00127701"/>
    <w:rsid w:val="00131F98"/>
    <w:rsid w:val="00132565"/>
    <w:rsid w:val="0013481C"/>
    <w:rsid w:val="00135F79"/>
    <w:rsid w:val="00143677"/>
    <w:rsid w:val="00144356"/>
    <w:rsid w:val="00146483"/>
    <w:rsid w:val="0015375A"/>
    <w:rsid w:val="00153BA9"/>
    <w:rsid w:val="00160FC2"/>
    <w:rsid w:val="00166D37"/>
    <w:rsid w:val="00176F6E"/>
    <w:rsid w:val="001805E5"/>
    <w:rsid w:val="001807D0"/>
    <w:rsid w:val="00182390"/>
    <w:rsid w:val="001849C3"/>
    <w:rsid w:val="00187D58"/>
    <w:rsid w:val="0019129C"/>
    <w:rsid w:val="00197EC1"/>
    <w:rsid w:val="001A01BF"/>
    <w:rsid w:val="001B6327"/>
    <w:rsid w:val="001B6B90"/>
    <w:rsid w:val="001C0D21"/>
    <w:rsid w:val="001D2D8A"/>
    <w:rsid w:val="001D3222"/>
    <w:rsid w:val="001D52E2"/>
    <w:rsid w:val="001D6428"/>
    <w:rsid w:val="001E0683"/>
    <w:rsid w:val="001E2BCB"/>
    <w:rsid w:val="001E34AE"/>
    <w:rsid w:val="001E3EBE"/>
    <w:rsid w:val="001F0CB7"/>
    <w:rsid w:val="001F1730"/>
    <w:rsid w:val="001F2699"/>
    <w:rsid w:val="001F5E00"/>
    <w:rsid w:val="001F7FF8"/>
    <w:rsid w:val="00200D65"/>
    <w:rsid w:val="002046E6"/>
    <w:rsid w:val="002068D0"/>
    <w:rsid w:val="00216465"/>
    <w:rsid w:val="00216D83"/>
    <w:rsid w:val="00221532"/>
    <w:rsid w:val="0023122F"/>
    <w:rsid w:val="002367CC"/>
    <w:rsid w:val="00237E20"/>
    <w:rsid w:val="002508E6"/>
    <w:rsid w:val="00250901"/>
    <w:rsid w:val="00261554"/>
    <w:rsid w:val="00263D43"/>
    <w:rsid w:val="00270647"/>
    <w:rsid w:val="00272573"/>
    <w:rsid w:val="00280263"/>
    <w:rsid w:val="00290F74"/>
    <w:rsid w:val="002910A4"/>
    <w:rsid w:val="00297214"/>
    <w:rsid w:val="002977EA"/>
    <w:rsid w:val="002A267B"/>
    <w:rsid w:val="002B5041"/>
    <w:rsid w:val="002D5960"/>
    <w:rsid w:val="002E14DE"/>
    <w:rsid w:val="002E31FA"/>
    <w:rsid w:val="002E6775"/>
    <w:rsid w:val="002F6970"/>
    <w:rsid w:val="00300390"/>
    <w:rsid w:val="00303D52"/>
    <w:rsid w:val="003216DA"/>
    <w:rsid w:val="00324676"/>
    <w:rsid w:val="0033227D"/>
    <w:rsid w:val="00332EBA"/>
    <w:rsid w:val="00342F05"/>
    <w:rsid w:val="00355CE4"/>
    <w:rsid w:val="003560F7"/>
    <w:rsid w:val="0036300C"/>
    <w:rsid w:val="003677F4"/>
    <w:rsid w:val="00371150"/>
    <w:rsid w:val="00371687"/>
    <w:rsid w:val="00373313"/>
    <w:rsid w:val="00373ACB"/>
    <w:rsid w:val="00376C57"/>
    <w:rsid w:val="00384E2D"/>
    <w:rsid w:val="0039330D"/>
    <w:rsid w:val="00394EF9"/>
    <w:rsid w:val="0039592D"/>
    <w:rsid w:val="003A0E9F"/>
    <w:rsid w:val="003A16D3"/>
    <w:rsid w:val="003A234B"/>
    <w:rsid w:val="003A4340"/>
    <w:rsid w:val="003A5799"/>
    <w:rsid w:val="003C1A76"/>
    <w:rsid w:val="003C2448"/>
    <w:rsid w:val="003C3F6C"/>
    <w:rsid w:val="003D0127"/>
    <w:rsid w:val="003D0DEB"/>
    <w:rsid w:val="003E319E"/>
    <w:rsid w:val="003E44DD"/>
    <w:rsid w:val="0041465A"/>
    <w:rsid w:val="00416EC3"/>
    <w:rsid w:val="00417F6B"/>
    <w:rsid w:val="00433365"/>
    <w:rsid w:val="00433FF0"/>
    <w:rsid w:val="0043468E"/>
    <w:rsid w:val="00442F9C"/>
    <w:rsid w:val="004541BC"/>
    <w:rsid w:val="00463C49"/>
    <w:rsid w:val="004719A7"/>
    <w:rsid w:val="00474072"/>
    <w:rsid w:val="0048397A"/>
    <w:rsid w:val="00493C74"/>
    <w:rsid w:val="004950BA"/>
    <w:rsid w:val="004A31FA"/>
    <w:rsid w:val="004B0BD2"/>
    <w:rsid w:val="004B0E99"/>
    <w:rsid w:val="004B37C6"/>
    <w:rsid w:val="004B565B"/>
    <w:rsid w:val="004B7041"/>
    <w:rsid w:val="004C7F18"/>
    <w:rsid w:val="004D1869"/>
    <w:rsid w:val="004D3DAD"/>
    <w:rsid w:val="004D7ED3"/>
    <w:rsid w:val="004E22A1"/>
    <w:rsid w:val="004E75E9"/>
    <w:rsid w:val="004F631C"/>
    <w:rsid w:val="00506FCB"/>
    <w:rsid w:val="00511EA7"/>
    <w:rsid w:val="0051669B"/>
    <w:rsid w:val="00532B43"/>
    <w:rsid w:val="00536997"/>
    <w:rsid w:val="0054440F"/>
    <w:rsid w:val="0054541A"/>
    <w:rsid w:val="00545586"/>
    <w:rsid w:val="00547C15"/>
    <w:rsid w:val="0055050C"/>
    <w:rsid w:val="0055569C"/>
    <w:rsid w:val="005600E5"/>
    <w:rsid w:val="0056047C"/>
    <w:rsid w:val="00560D62"/>
    <w:rsid w:val="0056275E"/>
    <w:rsid w:val="0056349B"/>
    <w:rsid w:val="00563AD9"/>
    <w:rsid w:val="005646EF"/>
    <w:rsid w:val="00573E75"/>
    <w:rsid w:val="0059060F"/>
    <w:rsid w:val="00591123"/>
    <w:rsid w:val="005932C3"/>
    <w:rsid w:val="005A20B2"/>
    <w:rsid w:val="005A2E5A"/>
    <w:rsid w:val="005A3926"/>
    <w:rsid w:val="005A447B"/>
    <w:rsid w:val="005A6570"/>
    <w:rsid w:val="005B603D"/>
    <w:rsid w:val="005C2BA0"/>
    <w:rsid w:val="005C31B6"/>
    <w:rsid w:val="005D564B"/>
    <w:rsid w:val="005E0115"/>
    <w:rsid w:val="005E1875"/>
    <w:rsid w:val="005E2174"/>
    <w:rsid w:val="005E495F"/>
    <w:rsid w:val="005F0AEB"/>
    <w:rsid w:val="005F3927"/>
    <w:rsid w:val="005F5A31"/>
    <w:rsid w:val="00602C39"/>
    <w:rsid w:val="00605AFD"/>
    <w:rsid w:val="0061073A"/>
    <w:rsid w:val="00610EDA"/>
    <w:rsid w:val="0061263B"/>
    <w:rsid w:val="0061487F"/>
    <w:rsid w:val="00616889"/>
    <w:rsid w:val="0061696F"/>
    <w:rsid w:val="00621407"/>
    <w:rsid w:val="00625265"/>
    <w:rsid w:val="00630573"/>
    <w:rsid w:val="00632FFE"/>
    <w:rsid w:val="00656CA4"/>
    <w:rsid w:val="0066427E"/>
    <w:rsid w:val="00665C7F"/>
    <w:rsid w:val="006700F4"/>
    <w:rsid w:val="00682FBE"/>
    <w:rsid w:val="00683167"/>
    <w:rsid w:val="006856F5"/>
    <w:rsid w:val="006923ED"/>
    <w:rsid w:val="006943DF"/>
    <w:rsid w:val="006950A4"/>
    <w:rsid w:val="00695AF3"/>
    <w:rsid w:val="006A0877"/>
    <w:rsid w:val="006A0FC9"/>
    <w:rsid w:val="006B0901"/>
    <w:rsid w:val="006B3E21"/>
    <w:rsid w:val="006B57BD"/>
    <w:rsid w:val="006C1643"/>
    <w:rsid w:val="006C17E3"/>
    <w:rsid w:val="006C2594"/>
    <w:rsid w:val="006C5F6E"/>
    <w:rsid w:val="006D7962"/>
    <w:rsid w:val="006F1A4C"/>
    <w:rsid w:val="006F496B"/>
    <w:rsid w:val="007021F4"/>
    <w:rsid w:val="007054D1"/>
    <w:rsid w:val="007146CA"/>
    <w:rsid w:val="00727A5A"/>
    <w:rsid w:val="007500D8"/>
    <w:rsid w:val="00750280"/>
    <w:rsid w:val="00751CAA"/>
    <w:rsid w:val="00752956"/>
    <w:rsid w:val="0075782D"/>
    <w:rsid w:val="00764A46"/>
    <w:rsid w:val="007667F7"/>
    <w:rsid w:val="00767E12"/>
    <w:rsid w:val="007770BE"/>
    <w:rsid w:val="00786007"/>
    <w:rsid w:val="007866D1"/>
    <w:rsid w:val="00790F39"/>
    <w:rsid w:val="00792F1D"/>
    <w:rsid w:val="00793C26"/>
    <w:rsid w:val="007A1074"/>
    <w:rsid w:val="007A1512"/>
    <w:rsid w:val="007A25A0"/>
    <w:rsid w:val="007A3AC8"/>
    <w:rsid w:val="007A4DCF"/>
    <w:rsid w:val="007A5E21"/>
    <w:rsid w:val="007A60BB"/>
    <w:rsid w:val="007A6D6B"/>
    <w:rsid w:val="007B0BC2"/>
    <w:rsid w:val="007B16C1"/>
    <w:rsid w:val="007B4033"/>
    <w:rsid w:val="007B568B"/>
    <w:rsid w:val="007C0366"/>
    <w:rsid w:val="007C4DC1"/>
    <w:rsid w:val="007D4D34"/>
    <w:rsid w:val="007D5A90"/>
    <w:rsid w:val="007E10A2"/>
    <w:rsid w:val="007E5AE3"/>
    <w:rsid w:val="007F0599"/>
    <w:rsid w:val="007F2F54"/>
    <w:rsid w:val="007F38C6"/>
    <w:rsid w:val="0081426E"/>
    <w:rsid w:val="00815F66"/>
    <w:rsid w:val="008261E6"/>
    <w:rsid w:val="008300FE"/>
    <w:rsid w:val="008306FC"/>
    <w:rsid w:val="00834741"/>
    <w:rsid w:val="00840706"/>
    <w:rsid w:val="00844F8A"/>
    <w:rsid w:val="00852DB4"/>
    <w:rsid w:val="00857CEA"/>
    <w:rsid w:val="00860BA1"/>
    <w:rsid w:val="0086417C"/>
    <w:rsid w:val="00874446"/>
    <w:rsid w:val="00874860"/>
    <w:rsid w:val="0087659A"/>
    <w:rsid w:val="008773A6"/>
    <w:rsid w:val="00877879"/>
    <w:rsid w:val="0087790D"/>
    <w:rsid w:val="00897263"/>
    <w:rsid w:val="008A276E"/>
    <w:rsid w:val="008A27EB"/>
    <w:rsid w:val="008A43A0"/>
    <w:rsid w:val="008A45ED"/>
    <w:rsid w:val="008C043A"/>
    <w:rsid w:val="008C2B6A"/>
    <w:rsid w:val="008D07F7"/>
    <w:rsid w:val="008E499D"/>
    <w:rsid w:val="008F6F03"/>
    <w:rsid w:val="008F70E9"/>
    <w:rsid w:val="0090398C"/>
    <w:rsid w:val="00914396"/>
    <w:rsid w:val="00915CF3"/>
    <w:rsid w:val="00917361"/>
    <w:rsid w:val="00917770"/>
    <w:rsid w:val="00927B1B"/>
    <w:rsid w:val="00933164"/>
    <w:rsid w:val="009370FC"/>
    <w:rsid w:val="0094632A"/>
    <w:rsid w:val="00951222"/>
    <w:rsid w:val="00957C5B"/>
    <w:rsid w:val="0096358B"/>
    <w:rsid w:val="009747AC"/>
    <w:rsid w:val="00975E3D"/>
    <w:rsid w:val="009804DC"/>
    <w:rsid w:val="00981D8C"/>
    <w:rsid w:val="0098483D"/>
    <w:rsid w:val="00987A31"/>
    <w:rsid w:val="00992EAF"/>
    <w:rsid w:val="00997234"/>
    <w:rsid w:val="009A0911"/>
    <w:rsid w:val="009A4325"/>
    <w:rsid w:val="009A50AF"/>
    <w:rsid w:val="009A7F90"/>
    <w:rsid w:val="009B1816"/>
    <w:rsid w:val="009B4610"/>
    <w:rsid w:val="009C66E4"/>
    <w:rsid w:val="009C6923"/>
    <w:rsid w:val="009C7188"/>
    <w:rsid w:val="009D2144"/>
    <w:rsid w:val="009E36A1"/>
    <w:rsid w:val="009E3AD0"/>
    <w:rsid w:val="009E4669"/>
    <w:rsid w:val="009E482C"/>
    <w:rsid w:val="00A04429"/>
    <w:rsid w:val="00A15C9B"/>
    <w:rsid w:val="00A15D4F"/>
    <w:rsid w:val="00A163D8"/>
    <w:rsid w:val="00A31F75"/>
    <w:rsid w:val="00A372E4"/>
    <w:rsid w:val="00A37B87"/>
    <w:rsid w:val="00A40B6B"/>
    <w:rsid w:val="00A44014"/>
    <w:rsid w:val="00A46849"/>
    <w:rsid w:val="00A63912"/>
    <w:rsid w:val="00A6547C"/>
    <w:rsid w:val="00A67C14"/>
    <w:rsid w:val="00A71C2F"/>
    <w:rsid w:val="00A847B3"/>
    <w:rsid w:val="00A85FBA"/>
    <w:rsid w:val="00A95C7F"/>
    <w:rsid w:val="00AC0EA5"/>
    <w:rsid w:val="00AC16E1"/>
    <w:rsid w:val="00AC1B98"/>
    <w:rsid w:val="00AC24AD"/>
    <w:rsid w:val="00AC6493"/>
    <w:rsid w:val="00AD6DBB"/>
    <w:rsid w:val="00AE2DEC"/>
    <w:rsid w:val="00AE6CD8"/>
    <w:rsid w:val="00AF21EF"/>
    <w:rsid w:val="00B001EB"/>
    <w:rsid w:val="00B070B4"/>
    <w:rsid w:val="00B10AAC"/>
    <w:rsid w:val="00B110DF"/>
    <w:rsid w:val="00B20B2A"/>
    <w:rsid w:val="00B21F80"/>
    <w:rsid w:val="00B3684C"/>
    <w:rsid w:val="00B371C8"/>
    <w:rsid w:val="00B373FF"/>
    <w:rsid w:val="00B37A85"/>
    <w:rsid w:val="00B440E1"/>
    <w:rsid w:val="00B44923"/>
    <w:rsid w:val="00B60F3E"/>
    <w:rsid w:val="00B641F2"/>
    <w:rsid w:val="00B70F7F"/>
    <w:rsid w:val="00B73091"/>
    <w:rsid w:val="00B73BFA"/>
    <w:rsid w:val="00B74003"/>
    <w:rsid w:val="00B74745"/>
    <w:rsid w:val="00B81A72"/>
    <w:rsid w:val="00B82088"/>
    <w:rsid w:val="00B92A16"/>
    <w:rsid w:val="00B92FFA"/>
    <w:rsid w:val="00B97A82"/>
    <w:rsid w:val="00BA0A3C"/>
    <w:rsid w:val="00BA2BBC"/>
    <w:rsid w:val="00BA44F6"/>
    <w:rsid w:val="00BB390C"/>
    <w:rsid w:val="00BB409B"/>
    <w:rsid w:val="00BB437C"/>
    <w:rsid w:val="00BB5E89"/>
    <w:rsid w:val="00BC0DAE"/>
    <w:rsid w:val="00BC78AE"/>
    <w:rsid w:val="00BD6F66"/>
    <w:rsid w:val="00BE12AA"/>
    <w:rsid w:val="00BE14AD"/>
    <w:rsid w:val="00BE2907"/>
    <w:rsid w:val="00BE75D7"/>
    <w:rsid w:val="00BF1CA6"/>
    <w:rsid w:val="00C023E7"/>
    <w:rsid w:val="00C024D5"/>
    <w:rsid w:val="00C03BEB"/>
    <w:rsid w:val="00C04461"/>
    <w:rsid w:val="00C40781"/>
    <w:rsid w:val="00C434D1"/>
    <w:rsid w:val="00C44F53"/>
    <w:rsid w:val="00C4532A"/>
    <w:rsid w:val="00C56F01"/>
    <w:rsid w:val="00C6639F"/>
    <w:rsid w:val="00C70167"/>
    <w:rsid w:val="00C70557"/>
    <w:rsid w:val="00C7624B"/>
    <w:rsid w:val="00C945CF"/>
    <w:rsid w:val="00CB0D6C"/>
    <w:rsid w:val="00CC1554"/>
    <w:rsid w:val="00CC1B0D"/>
    <w:rsid w:val="00CC70C3"/>
    <w:rsid w:val="00CD376A"/>
    <w:rsid w:val="00CD4651"/>
    <w:rsid w:val="00CE3671"/>
    <w:rsid w:val="00CE7531"/>
    <w:rsid w:val="00CE7F1A"/>
    <w:rsid w:val="00CF34F1"/>
    <w:rsid w:val="00D01B9D"/>
    <w:rsid w:val="00D07142"/>
    <w:rsid w:val="00D12CC8"/>
    <w:rsid w:val="00D20B47"/>
    <w:rsid w:val="00D236D6"/>
    <w:rsid w:val="00D24FE9"/>
    <w:rsid w:val="00D335AA"/>
    <w:rsid w:val="00D3522E"/>
    <w:rsid w:val="00D422B2"/>
    <w:rsid w:val="00D42F81"/>
    <w:rsid w:val="00D50775"/>
    <w:rsid w:val="00D52B4D"/>
    <w:rsid w:val="00D64EF3"/>
    <w:rsid w:val="00D74505"/>
    <w:rsid w:val="00D7588D"/>
    <w:rsid w:val="00D76D77"/>
    <w:rsid w:val="00D76E6F"/>
    <w:rsid w:val="00D846C7"/>
    <w:rsid w:val="00D90968"/>
    <w:rsid w:val="00D91329"/>
    <w:rsid w:val="00D92EE6"/>
    <w:rsid w:val="00D94598"/>
    <w:rsid w:val="00D96B70"/>
    <w:rsid w:val="00D97012"/>
    <w:rsid w:val="00DA13D4"/>
    <w:rsid w:val="00DA1524"/>
    <w:rsid w:val="00DB387A"/>
    <w:rsid w:val="00DB5AF6"/>
    <w:rsid w:val="00DB5E3C"/>
    <w:rsid w:val="00DB6FDB"/>
    <w:rsid w:val="00DC4A4C"/>
    <w:rsid w:val="00DC5CE0"/>
    <w:rsid w:val="00DD3E3A"/>
    <w:rsid w:val="00DD75E0"/>
    <w:rsid w:val="00DE6F2C"/>
    <w:rsid w:val="00E03F83"/>
    <w:rsid w:val="00E05786"/>
    <w:rsid w:val="00E14C91"/>
    <w:rsid w:val="00E30B07"/>
    <w:rsid w:val="00E32D07"/>
    <w:rsid w:val="00E367B4"/>
    <w:rsid w:val="00E3684E"/>
    <w:rsid w:val="00E40B94"/>
    <w:rsid w:val="00E476CA"/>
    <w:rsid w:val="00E553CB"/>
    <w:rsid w:val="00E60C73"/>
    <w:rsid w:val="00E61808"/>
    <w:rsid w:val="00E64478"/>
    <w:rsid w:val="00E66CD0"/>
    <w:rsid w:val="00E7004A"/>
    <w:rsid w:val="00E72DCD"/>
    <w:rsid w:val="00E737B6"/>
    <w:rsid w:val="00E823EC"/>
    <w:rsid w:val="00E879F9"/>
    <w:rsid w:val="00E9120C"/>
    <w:rsid w:val="00EA2B4B"/>
    <w:rsid w:val="00EB03B3"/>
    <w:rsid w:val="00EB23CD"/>
    <w:rsid w:val="00EB33CF"/>
    <w:rsid w:val="00EC20C6"/>
    <w:rsid w:val="00ED0A21"/>
    <w:rsid w:val="00ED6325"/>
    <w:rsid w:val="00EE1C55"/>
    <w:rsid w:val="00EE6E51"/>
    <w:rsid w:val="00EF13B5"/>
    <w:rsid w:val="00EF3302"/>
    <w:rsid w:val="00EF3E30"/>
    <w:rsid w:val="00EF5CC3"/>
    <w:rsid w:val="00F102F1"/>
    <w:rsid w:val="00F12EE5"/>
    <w:rsid w:val="00F143B6"/>
    <w:rsid w:val="00F174BD"/>
    <w:rsid w:val="00F20DDB"/>
    <w:rsid w:val="00F213EE"/>
    <w:rsid w:val="00F26B40"/>
    <w:rsid w:val="00F313B4"/>
    <w:rsid w:val="00F33938"/>
    <w:rsid w:val="00F37293"/>
    <w:rsid w:val="00F41799"/>
    <w:rsid w:val="00F4409B"/>
    <w:rsid w:val="00F45A77"/>
    <w:rsid w:val="00F47F7C"/>
    <w:rsid w:val="00F552B1"/>
    <w:rsid w:val="00F6478A"/>
    <w:rsid w:val="00F6793E"/>
    <w:rsid w:val="00F72433"/>
    <w:rsid w:val="00F72B26"/>
    <w:rsid w:val="00F81A97"/>
    <w:rsid w:val="00F855B6"/>
    <w:rsid w:val="00F948ED"/>
    <w:rsid w:val="00F96431"/>
    <w:rsid w:val="00F96A87"/>
    <w:rsid w:val="00FA03BE"/>
    <w:rsid w:val="00FA31EB"/>
    <w:rsid w:val="00FB4208"/>
    <w:rsid w:val="00FC2FF5"/>
    <w:rsid w:val="00FC5F69"/>
    <w:rsid w:val="00FE27D3"/>
    <w:rsid w:val="00FE590E"/>
    <w:rsid w:val="00FE7396"/>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0B00F"/>
  <w15:docId w15:val="{06CC8A82-E7AA-42EF-83F5-D7635D3A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2E14DE"/>
    <w:rPr>
      <w:b/>
      <w:bCs/>
    </w:rPr>
  </w:style>
  <w:style w:type="paragraph" w:customStyle="1" w:styleId="TAC">
    <w:name w:val="TAC"/>
    <w:basedOn w:val="Normal"/>
    <w:link w:val="TACChar"/>
    <w:rsid w:val="002E14DE"/>
    <w:pPr>
      <w:keepNext/>
      <w:keepLines/>
      <w:spacing w:after="0"/>
      <w:jc w:val="center"/>
    </w:pPr>
    <w:rPr>
      <w:rFonts w:ascii="Arial" w:hAnsi="Arial"/>
      <w:sz w:val="18"/>
      <w:szCs w:val="18"/>
      <w:lang w:eastAsia="x-none"/>
    </w:rPr>
  </w:style>
  <w:style w:type="character" w:customStyle="1" w:styleId="TACChar">
    <w:name w:val="TAC Char"/>
    <w:link w:val="TAC"/>
    <w:rsid w:val="002E14DE"/>
    <w:rPr>
      <w:rFonts w:ascii="Arial" w:hAnsi="Arial"/>
      <w:sz w:val="18"/>
      <w:szCs w:val="18"/>
      <w:lang w:val="en-GB" w:eastAsia="x-none"/>
    </w:rPr>
  </w:style>
  <w:style w:type="character" w:customStyle="1" w:styleId="TAHCar">
    <w:name w:val="TAH Car"/>
    <w:link w:val="TAH"/>
    <w:rsid w:val="002E14DE"/>
    <w:rPr>
      <w:rFonts w:ascii="Arial" w:hAnsi="Arial"/>
      <w:b/>
      <w:bCs/>
      <w:sz w:val="18"/>
      <w:szCs w:val="18"/>
      <w:lang w:val="en-GB" w:eastAsia="x-none"/>
    </w:rPr>
  </w:style>
  <w:style w:type="paragraph" w:customStyle="1" w:styleId="TAN">
    <w:name w:val="TAN"/>
    <w:basedOn w:val="Normal"/>
    <w:link w:val="TANChar"/>
    <w:rsid w:val="002E14DE"/>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2E14DE"/>
    <w:rPr>
      <w:rFonts w:ascii="Arial" w:hAnsi="Arial"/>
      <w:sz w:val="18"/>
      <w:szCs w:val="18"/>
      <w:lang w:val="en-GB" w:eastAsia="x-none"/>
    </w:rPr>
  </w:style>
  <w:style w:type="paragraph" w:customStyle="1" w:styleId="TH">
    <w:name w:val="TH"/>
    <w:basedOn w:val="Normal"/>
    <w:link w:val="THChar"/>
    <w:rsid w:val="00110B3D"/>
    <w:pPr>
      <w:keepNext/>
      <w:keepLines/>
      <w:spacing w:before="60" w:after="180"/>
      <w:jc w:val="center"/>
    </w:pPr>
    <w:rPr>
      <w:rFonts w:ascii="Arial" w:hAnsi="Arial"/>
      <w:b/>
      <w:bCs/>
      <w:sz w:val="20"/>
      <w:lang w:eastAsia="x-none"/>
    </w:rPr>
  </w:style>
  <w:style w:type="character" w:customStyle="1" w:styleId="THChar">
    <w:name w:val="TH Char"/>
    <w:link w:val="TH"/>
    <w:rsid w:val="00110B3D"/>
    <w:rPr>
      <w:rFonts w:ascii="Arial" w:hAnsi="Arial"/>
      <w:b/>
      <w:bCs/>
      <w:lang w:val="en-GB" w:eastAsia="x-none"/>
    </w:rPr>
  </w:style>
  <w:style w:type="paragraph" w:customStyle="1" w:styleId="TAL">
    <w:name w:val="TAL"/>
    <w:basedOn w:val="Normal"/>
    <w:link w:val="TALCar"/>
    <w:rsid w:val="00DD75E0"/>
    <w:pPr>
      <w:keepNext/>
      <w:keepLines/>
      <w:spacing w:after="0"/>
      <w:jc w:val="left"/>
    </w:pPr>
    <w:rPr>
      <w:rFonts w:ascii="Arial" w:hAnsi="Arial"/>
      <w:sz w:val="18"/>
      <w:szCs w:val="18"/>
      <w:lang w:eastAsia="x-none"/>
    </w:rPr>
  </w:style>
  <w:style w:type="character" w:customStyle="1" w:styleId="TALCar">
    <w:name w:val="TAL Car"/>
    <w:link w:val="TAL"/>
    <w:rsid w:val="00DD75E0"/>
    <w:rPr>
      <w:rFonts w:ascii="Arial" w:hAnsi="Arial"/>
      <w:sz w:val="18"/>
      <w:szCs w:val="18"/>
      <w:lang w:val="en-GB" w:eastAsia="x-none"/>
    </w:rPr>
  </w:style>
  <w:style w:type="paragraph" w:styleId="ListParagraph">
    <w:name w:val="List Paragraph"/>
    <w:basedOn w:val="Normal"/>
    <w:uiPriority w:val="34"/>
    <w:qFormat/>
    <w:rsid w:val="00EE1C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46568">
      <w:bodyDiv w:val="1"/>
      <w:marLeft w:val="0"/>
      <w:marRight w:val="0"/>
      <w:marTop w:val="0"/>
      <w:marBottom w:val="0"/>
      <w:divBdr>
        <w:top w:val="none" w:sz="0" w:space="0" w:color="auto"/>
        <w:left w:val="none" w:sz="0" w:space="0" w:color="auto"/>
        <w:bottom w:val="none" w:sz="0" w:space="0" w:color="auto"/>
        <w:right w:val="none" w:sz="0" w:space="0" w:color="auto"/>
      </w:divBdr>
    </w:div>
    <w:div w:id="204100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CEF9E-20CD-41DE-BAD7-0CE3A9C5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404</TotalTime>
  <Pages>3</Pages>
  <Words>1025</Words>
  <Characters>5846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cp:lastModifiedBy>
  <cp:revision>48</cp:revision>
  <dcterms:created xsi:type="dcterms:W3CDTF">2016-08-11T06:45:00Z</dcterms:created>
  <dcterms:modified xsi:type="dcterms:W3CDTF">2016-09-30T20:00:00Z</dcterms:modified>
</cp:coreProperties>
</file>